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jc w:val="center"/>
        <w:textAlignment w:val="baseline"/>
      </w:pP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目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   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录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jc w:val="left"/>
        <w:textAlignment w:val="baseline"/>
      </w:pPr>
      <w:r>
        <w:rPr>
          <w:rStyle w:val="NormalCharacter"/>
          <w:b/>
          <w:bCs/>
          <w:szCs w:val="32"/>
          <w:sz w:val="32"/>
          <w:kern w:val="0"/>
          <w:lang w:val="en-US" w:eastAsia="zh-CN" w:bidi="ar-SA"/>
          <w:rFonts w:ascii="仿宋_GB2312" w:cs="Arial" w:eastAsia="仿宋_GB2312" w:hAnsi="Arial"/>
          <w:color w:val="333333"/>
        </w:rPr>
        <w:t xml:space="preserve"> 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第一部分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沅江市文旅广体局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/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单位概况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一、部门职责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二、机构设置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第二部分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沅江市文旅广体局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/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201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9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年度部门决算表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一、收入支出决算总表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二、收入决算表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三、支出决算表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四、财政拨款收入支出决算总表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五、一般公共预算财政拨款支出决算表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六、一般公共预算财政拨款基本支出决算表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七、一般公共预算财政拨款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“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三公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”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经费支出决算表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八、政府性基金预算财政拨款收入支出决算表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第三部分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沅江市文旅广体局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/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201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9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年度部门决算情况说明</w:t>
      </w:r>
    </w:p>
    <w:p>
      <w:pPr>
        <w:pStyle w:val="Normal"/>
        <w:rPr>
          <w:rStyle w:val="NormalCharacter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</w:t>
      </w:r>
      <w:r>
        <w:rPr>
          <w:rStyle w:val="NormalCharacter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收入支出预算安排情况</w:t>
      </w:r>
    </w:p>
    <w:p>
      <w:pPr>
        <w:pStyle w:val="Normal"/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</w:t>
      </w:r>
      <w:r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收入支出执行情况</w:t>
      </w:r>
    </w:p>
    <w:p>
      <w:pPr>
        <w:pStyle w:val="Normal"/>
        <w:rPr>
          <w:rStyle w:val="NormalCharacter"/>
          <w:b w:val="off"/>
          <w:bCs w:val="off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b w:val="off"/>
          <w:bCs w:val="off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三、</w:t>
      </w:r>
      <w:r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重点经济分类支出执行情况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ind w:hanging="640" w:left="640" w:firstLineChars="-200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四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、一般公共预算财政拨款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“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三公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”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经费支出情况决算情况说明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五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、预算绩效情况说明（见附表）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九、其他重要事项的情况说明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第四部分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名称解释</w:t>
      </w:r>
    </w:p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</w:rPr>
        <w:jc w:val="both"/>
        <w:textAlignment w:val="baseline"/>
      </w:pPr>
    </w:p>
    <w:sectPr>
      <w:vAlign w:val="top"/>
      <w:type w:val="nextPage"/>
      <w:pgSz w:h="16838" w:w="11906" w:orient="portrait"/>
      <w:pgMar w:gutter="0" w:header="851" w:top="1440" w:bottom="1440" w:footer="992" w:left="1800" w:right="1800"/>
      <w:lnNumType w:countBy="0"/>
      <w:paperSrc w:first="0" w:other="0"/>
      <w:cols w:space="425" w:num="1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405020304"/>
    <w:pitch w:val="variable"/>
    <w:sig w:usb0="20007a87" w:usb1="80000000" w:usb2="00000008" w:usb3="00000000" w:csb0="000001ff" w:csb1="00000000"/>
  </w:font>
  <w:font w:name="宋体">
    <w:altName w:val="宋体"/>
    <w:charset w:val="86"/>
    <w:family w:val="auto"/>
    <w:panose1 w:val="02010600030101010101"/>
    <w:pitch w:val="default"/>
    <w:sig w:usb0="00000003" w:usb1="288f0000" w:usb2="00000006" w:usb3="00000000" w:csb0="00040001" w:csb1="00000000"/>
  </w:font>
  <w:font w:name="Wingdings">
    <w:altName w:val="Wingdings"/>
    <w:charset w:val="02"/>
    <w:family w:val="auto"/>
    <w:panose1 w:val="05000000000000000000"/>
    <w:pitch w:val="default"/>
    <w:sig w:usb0="00000000" w:usb1="00000000" w:usb2="00000000" w:usb3="00000000" w:csb0="80000000" w:csb1="00000000"/>
  </w:font>
  <w:font w:name="方正小标宋_GBK">
    <w:altName w:val="宋体"/>
    <w:charset w:val="86"/>
    <w:family w:val="roman"/>
    <w:panose1 w:val="00000000000000000000"/>
    <w:pitch w:val="default"/>
    <w:sig w:usb0="00000001" w:usb1="080e0000" w:usb2="00000010" w:usb3="00000000" w:csb0="00040000" w:csb1="00000000"/>
  </w:font>
  <w:font w:name="Arial">
    <w:altName w:val="Arial"/>
    <w:charset w:val="00"/>
    <w:family w:val="swiss"/>
    <w:panose1 w:val="020b0604020202020204"/>
    <w:pitch w:val="default"/>
    <w:sig w:usb0="e0002aff" w:usb1="c0007843" w:usb2="00000009" w:usb3="00000000" w:csb0="400001ff" w:csb1="00000000"/>
  </w:font>
  <w:font w:name="仿宋_GB2312">
    <w:altName w:val="仿宋"/>
    <w:charset w:val="86"/>
    <w:family w:val="modern"/>
    <w:panose1 w:val="02010609030101010101"/>
    <w:pitch w:val="default"/>
    <w:sig w:usb0="00000001" w:usb1="080e0000" w:usb2="00000010" w:usb3="00000000" w:csb0="00040000" w:csb1="00000000"/>
  </w:font>
  <w:font w:name="黑体">
    <w:altName w:val="黑体"/>
    <w:charset w:val="86"/>
    <w:family w:val="auto"/>
    <w:panose1 w:val="02010609060101010101"/>
    <w:pitch w:val="default"/>
    <w:sig w:usb0="800002bf" w:usb1="38cf7cfa" w:usb2="00000016" w:usb3="00000000" w:csb0="00040001" w:csb1="00000000"/>
  </w:font>
  <w:font w:name="仿宋">
    <w:altName w:val="仿宋"/>
    <w:charset w:val="86"/>
    <w:family w:val="auto"/>
    <w:panose1 w:val="02010609060101010101"/>
    <w:pitch w:val="default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>
  <w:zoom w:percent="80"/>
  <w:embedSystemFonts/>
  <w:stylePaneFormatFilter w:val="3f01"/>
  <w:defaultTabStop w:val="420"/>
  <w:displayHorizontalDrawingGridEvery w:val="0"/>
  <w:displayVerticalDrawingGridEvery w:val="2"/>
  <w:doNotUseMarginsForDrawingGridOrigin/>
  <w:noPunctuationKerning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</w:compat>
  <w:rsids/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Cs w:val="24"/>
        <w:sz w:val="21"/>
        <w:kern w:val="2"/>
        <w:lang w:val="en-US" w:eastAsia="zh-CN" w:bidi="ar-SA"/>
      </w:rPr>
      <w:jc w:val="both"/>
      <w:textAlignment w:val="baseline"/>
    </w:pPr>
    <w:rPr>
      <w:szCs w:val="24"/>
      <w:sz w:val="21"/>
      <w:kern w:val="2"/>
      <w:lang w:val="en-US" w:eastAsia="zh-CN" w:bidi="ar-SA"/>
    </w:rPr>
  </w:style>
  <w:style w:type="character" w:styleId="NormalCharacter">
    <w:name w:val="NormalCharacter"/>
    <w:next w:val="NormalCharacter"/>
    <w:link w:val="Normal"/>
    <w:semiHidden/>
  </w:style>
  <w:style w:type="table" w:styleId="TableNormal">
    <w:name w:val="TableNormal"/>
    <w:next w:val="TableNormal"/>
    <w:link w:val="Normal"/>
    <w:semiHidden/>
  </w:style>
</w:styles>
</file>

<file path=word/_rels/document.xml.rels><?xml version="1.0" encoding="UTF-8"?>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jc w:val="center"/>
        <w:textAlignment w:val="baseline"/>
      </w:pP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目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   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录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jc w:val="left"/>
        <w:textAlignment w:val="baseline"/>
      </w:pPr>
      <w:r>
        <w:rPr>
          <w:rStyle w:val="NormalCharacter"/>
          <w:b/>
          <w:bCs/>
          <w:szCs w:val="32"/>
          <w:sz w:val="32"/>
          <w:kern w:val="0"/>
          <w:lang w:val="en-US" w:eastAsia="zh-CN" w:bidi="ar-SA"/>
          <w:rFonts w:ascii="仿宋_GB2312" w:cs="Arial" w:eastAsia="仿宋_GB2312" w:hAnsi="Arial"/>
          <w:color w:val="333333"/>
        </w:rPr>
        <w:t xml:space="preserve"> 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第一部分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广播电视台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单位概况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一、部门职责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二、机构设置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第二部分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广播电视台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201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9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年度部门决算表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一、收入支出决算总表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二、收入决算表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三、支出决算表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四、财政拨款收入支出决算总表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五、一般公共预算财政拨款支出决算表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六、一般公共预算财政拨款基本支出决算表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七、一般公共预算财政拨款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“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三公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”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经费支出决算表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八、政府性基金预算财政拨款收入支出决算表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第三部分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广播电视台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201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9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年度部门决算情况说明</w:t>
      </w:r>
    </w:p>
    <w:p>
      <w:pPr>
        <w:pStyle w:val="Normal"/>
        <w:rPr>
          <w:rStyle w:val="NormalCharacter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</w:t>
      </w:r>
      <w:r>
        <w:rPr>
          <w:rStyle w:val="NormalCharacter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收入支出预算安排情况</w:t>
      </w:r>
    </w:p>
    <w:p>
      <w:pPr>
        <w:pStyle w:val="Normal"/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</w:t>
      </w:r>
      <w:r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收入支出执行情况</w:t>
      </w:r>
    </w:p>
    <w:p>
      <w:pPr>
        <w:pStyle w:val="Normal"/>
        <w:rPr>
          <w:rStyle w:val="NormalCharacter"/>
          <w:b w:val="off"/>
          <w:bCs w:val="off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b w:val="off"/>
          <w:bCs w:val="off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三、</w:t>
      </w:r>
      <w:r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重点经济分类支出执行情况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ind w:hanging="640" w:left="640" w:firstLineChars="-200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四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、一般公共预算财政拨款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“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三公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”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经费支出情况决算情况说明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五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、预算绩效情况说明（见附表）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九、其他重要事项的情况说明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第四部分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名称解释</w:t>
      </w:r>
    </w:p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</w:rPr>
        <w:jc w:val="both"/>
        <w:textAlignment w:val="baseline"/>
      </w:pPr>
    </w:p>
    <w:sectPr>
      <w:vAlign w:val="top"/>
      <w:type w:val="nextPage"/>
      <w:pgSz w:h="16838" w:w="11906" w:orient="portrait"/>
      <w:pgMar w:gutter="0" w:header="851" w:top="1440" w:bottom="1440" w:footer="992" w:left="1800" w:right="1800"/>
      <w:lnNumType w:countBy="0"/>
      <w:paperSrc w:first="0" w:other="0"/>
      <w:cols w:space="425" w:num="1"/>
      <w:docGrid w:charSpace="0" w:linePitch="312" w:type="lines"/>
    </w:sectPr>
  </w:body>
</w:document>
</file>

<file path=treport/opRecord.xml>p_2(0,0|D);p_5(0,0|D);p_6(0);p_14(0,0|D);
</file>