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bCs/>
          <w:sz w:val="44"/>
        </w:rPr>
      </w:pPr>
      <w:r>
        <w:rPr>
          <w:rFonts w:hint="eastAsia" w:ascii="仿宋" w:hAnsi="仿宋" w:eastAsia="仿宋" w:cs="仿宋"/>
          <w:b/>
          <w:bCs/>
          <w:sz w:val="44"/>
        </w:rPr>
        <w:t>目 录</w:t>
      </w:r>
    </w:p>
    <w:p>
      <w:pPr>
        <w:ind w:firstLine="3200"/>
        <w:rPr>
          <w:rFonts w:ascii="仿宋" w:hAnsi="仿宋" w:eastAsia="仿宋" w:cs="仿宋"/>
          <w:sz w:val="32"/>
        </w:rPr>
      </w:pPr>
    </w:p>
    <w:p>
      <w:pPr>
        <w:rPr>
          <w:rFonts w:ascii="仿宋" w:hAnsi="仿宋" w:eastAsia="仿宋" w:cs="仿宋"/>
          <w:b/>
          <w:bCs/>
          <w:sz w:val="32"/>
        </w:rPr>
      </w:pPr>
      <w:r>
        <w:rPr>
          <w:rFonts w:hint="eastAsia" w:ascii="仿宋" w:hAnsi="仿宋" w:eastAsia="仿宋" w:cs="仿宋"/>
          <w:b/>
          <w:bCs/>
          <w:sz w:val="32"/>
        </w:rPr>
        <w:t xml:space="preserve">第一部分 沅江市公路建设养护中心概况 </w:t>
      </w:r>
    </w:p>
    <w:p>
      <w:pPr>
        <w:rPr>
          <w:rFonts w:ascii="仿宋" w:hAnsi="仿宋" w:eastAsia="仿宋" w:cs="仿宋"/>
          <w:sz w:val="32"/>
        </w:rPr>
      </w:pPr>
      <w:r>
        <w:rPr>
          <w:rFonts w:hint="eastAsia" w:ascii="仿宋" w:hAnsi="仿宋" w:eastAsia="仿宋" w:cs="仿宋"/>
          <w:sz w:val="32"/>
        </w:rPr>
        <w:t xml:space="preserve">一、主要职能 </w:t>
      </w:r>
    </w:p>
    <w:p>
      <w:pPr>
        <w:rPr>
          <w:rFonts w:ascii="仿宋" w:hAnsi="仿宋" w:eastAsia="仿宋" w:cs="仿宋"/>
          <w:sz w:val="32"/>
        </w:rPr>
      </w:pPr>
      <w:r>
        <w:rPr>
          <w:rFonts w:hint="eastAsia" w:ascii="仿宋" w:hAnsi="仿宋" w:eastAsia="仿宋" w:cs="仿宋"/>
          <w:sz w:val="32"/>
        </w:rPr>
        <w:t>二、机构设置</w:t>
      </w:r>
    </w:p>
    <w:p>
      <w:pPr>
        <w:rPr>
          <w:rFonts w:ascii="仿宋" w:hAnsi="仿宋" w:eastAsia="仿宋" w:cs="仿宋"/>
          <w:sz w:val="32"/>
        </w:rPr>
      </w:pPr>
      <w:r>
        <w:rPr>
          <w:rFonts w:hint="eastAsia" w:ascii="仿宋" w:hAnsi="仿宋" w:eastAsia="仿宋" w:cs="仿宋"/>
          <w:sz w:val="32"/>
        </w:rPr>
        <w:t xml:space="preserve">三、部门决算单位构成 </w:t>
      </w:r>
    </w:p>
    <w:p>
      <w:pPr>
        <w:rPr>
          <w:rFonts w:ascii="仿宋" w:hAnsi="仿宋" w:eastAsia="仿宋" w:cs="仿宋"/>
          <w:sz w:val="32"/>
        </w:rPr>
      </w:pPr>
    </w:p>
    <w:p>
      <w:pPr>
        <w:rPr>
          <w:rFonts w:ascii="仿宋" w:hAnsi="仿宋" w:eastAsia="仿宋" w:cs="仿宋"/>
          <w:b/>
          <w:bCs/>
          <w:sz w:val="32"/>
        </w:rPr>
      </w:pPr>
      <w:r>
        <w:rPr>
          <w:rFonts w:hint="eastAsia" w:ascii="仿宋" w:hAnsi="仿宋" w:eastAsia="仿宋" w:cs="仿宋"/>
          <w:b/>
          <w:bCs/>
          <w:sz w:val="32"/>
        </w:rPr>
        <w:t xml:space="preserve">第二部分 沅江市公路建设养护中心2019 年度部门决算表 </w:t>
      </w:r>
    </w:p>
    <w:p>
      <w:pPr>
        <w:rPr>
          <w:rFonts w:ascii="仿宋" w:hAnsi="仿宋" w:eastAsia="仿宋" w:cs="仿宋"/>
          <w:sz w:val="32"/>
        </w:rPr>
      </w:pPr>
      <w:r>
        <w:rPr>
          <w:rFonts w:hint="eastAsia" w:ascii="仿宋" w:hAnsi="仿宋" w:eastAsia="仿宋" w:cs="仿宋"/>
          <w:sz w:val="32"/>
        </w:rPr>
        <w:t xml:space="preserve">一、收入支出决算总表 </w:t>
      </w:r>
    </w:p>
    <w:p>
      <w:pPr>
        <w:rPr>
          <w:rFonts w:ascii="仿宋" w:hAnsi="仿宋" w:eastAsia="仿宋" w:cs="仿宋"/>
          <w:sz w:val="32"/>
        </w:rPr>
      </w:pPr>
      <w:r>
        <w:rPr>
          <w:rFonts w:hint="eastAsia" w:ascii="仿宋" w:hAnsi="仿宋" w:eastAsia="仿宋" w:cs="仿宋"/>
          <w:sz w:val="32"/>
        </w:rPr>
        <w:t xml:space="preserve">二、收入决算表 </w:t>
      </w:r>
    </w:p>
    <w:p>
      <w:pPr>
        <w:rPr>
          <w:rFonts w:ascii="仿宋" w:hAnsi="仿宋" w:eastAsia="仿宋" w:cs="仿宋"/>
          <w:sz w:val="32"/>
        </w:rPr>
      </w:pPr>
      <w:r>
        <w:rPr>
          <w:rFonts w:hint="eastAsia" w:ascii="仿宋" w:hAnsi="仿宋" w:eastAsia="仿宋" w:cs="仿宋"/>
          <w:sz w:val="32"/>
        </w:rPr>
        <w:t xml:space="preserve">三、支出决算表 </w:t>
      </w:r>
    </w:p>
    <w:p>
      <w:pPr>
        <w:rPr>
          <w:rFonts w:ascii="仿宋" w:hAnsi="仿宋" w:eastAsia="仿宋" w:cs="仿宋"/>
          <w:sz w:val="32"/>
        </w:rPr>
      </w:pPr>
      <w:r>
        <w:rPr>
          <w:rFonts w:hint="eastAsia" w:ascii="仿宋" w:hAnsi="仿宋" w:eastAsia="仿宋" w:cs="仿宋"/>
          <w:sz w:val="32"/>
        </w:rPr>
        <w:t xml:space="preserve">四、财政拨款收入支出决算总表 </w:t>
      </w:r>
    </w:p>
    <w:p>
      <w:pPr>
        <w:rPr>
          <w:rFonts w:ascii="仿宋" w:hAnsi="仿宋" w:eastAsia="仿宋" w:cs="仿宋"/>
          <w:sz w:val="32"/>
        </w:rPr>
      </w:pPr>
      <w:r>
        <w:rPr>
          <w:rFonts w:hint="eastAsia" w:ascii="仿宋" w:hAnsi="仿宋" w:eastAsia="仿宋" w:cs="仿宋"/>
          <w:sz w:val="32"/>
        </w:rPr>
        <w:t xml:space="preserve">五、一般公共预算财政拨款支出决算表 </w:t>
      </w:r>
    </w:p>
    <w:p>
      <w:pPr>
        <w:rPr>
          <w:rFonts w:ascii="仿宋" w:hAnsi="仿宋" w:eastAsia="仿宋" w:cs="仿宋"/>
          <w:sz w:val="32"/>
        </w:rPr>
      </w:pPr>
      <w:r>
        <w:rPr>
          <w:rFonts w:hint="eastAsia" w:ascii="仿宋" w:hAnsi="仿宋" w:eastAsia="仿宋" w:cs="仿宋"/>
          <w:sz w:val="32"/>
        </w:rPr>
        <w:t xml:space="preserve">六、一般公共预算财政拨款基本支出决算表 </w:t>
      </w:r>
    </w:p>
    <w:p>
      <w:pPr>
        <w:rPr>
          <w:rFonts w:ascii="仿宋" w:hAnsi="仿宋" w:eastAsia="仿宋" w:cs="仿宋"/>
          <w:sz w:val="32"/>
        </w:rPr>
      </w:pPr>
      <w:r>
        <w:rPr>
          <w:rFonts w:hint="eastAsia" w:ascii="仿宋" w:hAnsi="仿宋" w:eastAsia="仿宋" w:cs="仿宋"/>
          <w:sz w:val="32"/>
        </w:rPr>
        <w:t xml:space="preserve">七、一般公共预算财政拨款“三公”经费支出决算表 </w:t>
      </w:r>
    </w:p>
    <w:p>
      <w:pPr>
        <w:rPr>
          <w:rFonts w:ascii="仿宋" w:hAnsi="仿宋" w:eastAsia="仿宋" w:cs="仿宋"/>
          <w:sz w:val="32"/>
        </w:rPr>
      </w:pPr>
      <w:r>
        <w:rPr>
          <w:rFonts w:hint="eastAsia" w:ascii="仿宋" w:hAnsi="仿宋" w:eastAsia="仿宋" w:cs="仿宋"/>
          <w:sz w:val="32"/>
        </w:rPr>
        <w:t xml:space="preserve">八、政府性基金预算财政拨款收入支出决算表 </w:t>
      </w:r>
    </w:p>
    <w:p>
      <w:pPr>
        <w:rPr>
          <w:rFonts w:ascii="仿宋" w:hAnsi="仿宋" w:eastAsia="仿宋" w:cs="仿宋"/>
          <w:sz w:val="32"/>
        </w:rPr>
      </w:pPr>
    </w:p>
    <w:p>
      <w:pPr>
        <w:rPr>
          <w:rFonts w:ascii="仿宋" w:hAnsi="仿宋" w:eastAsia="仿宋" w:cs="仿宋"/>
          <w:b/>
          <w:bCs/>
          <w:sz w:val="32"/>
        </w:rPr>
      </w:pPr>
      <w:r>
        <w:rPr>
          <w:rFonts w:hint="eastAsia" w:ascii="仿宋" w:hAnsi="仿宋" w:eastAsia="仿宋" w:cs="仿宋"/>
          <w:b/>
          <w:bCs/>
          <w:sz w:val="32"/>
        </w:rPr>
        <w:t>第三部分 沅江市公路建设养护中心2019年度部门决算情况说明</w:t>
      </w:r>
    </w:p>
    <w:p>
      <w:pPr>
        <w:jc w:val="left"/>
        <w:rPr>
          <w:rFonts w:ascii="仿宋" w:hAnsi="仿宋" w:eastAsia="仿宋" w:cs="仿宋"/>
          <w:sz w:val="32"/>
        </w:rPr>
      </w:pPr>
      <w:r>
        <w:rPr>
          <w:rFonts w:hint="eastAsia" w:ascii="仿宋" w:hAnsi="仿宋" w:eastAsia="仿宋" w:cs="仿宋"/>
          <w:sz w:val="32"/>
        </w:rPr>
        <w:t>一、收入支出决算总体情况说明</w:t>
      </w:r>
    </w:p>
    <w:p>
      <w:pPr>
        <w:jc w:val="left"/>
        <w:rPr>
          <w:rFonts w:ascii="仿宋" w:hAnsi="仿宋" w:eastAsia="仿宋" w:cs="仿宋"/>
          <w:sz w:val="32"/>
        </w:rPr>
      </w:pPr>
      <w:r>
        <w:rPr>
          <w:rFonts w:hint="eastAsia" w:ascii="仿宋" w:hAnsi="仿宋" w:eastAsia="仿宋" w:cs="仿宋"/>
          <w:sz w:val="32"/>
        </w:rPr>
        <w:t>二、收入决算情况说明</w:t>
      </w:r>
    </w:p>
    <w:p>
      <w:pPr>
        <w:jc w:val="left"/>
        <w:rPr>
          <w:rFonts w:ascii="仿宋" w:hAnsi="仿宋" w:eastAsia="仿宋" w:cs="仿宋"/>
          <w:sz w:val="32"/>
        </w:rPr>
      </w:pPr>
      <w:r>
        <w:rPr>
          <w:rFonts w:hint="eastAsia" w:ascii="仿宋" w:hAnsi="仿宋" w:eastAsia="仿宋" w:cs="仿宋"/>
          <w:sz w:val="32"/>
        </w:rPr>
        <w:t>三、支出决算情况说明</w:t>
      </w:r>
    </w:p>
    <w:p>
      <w:pPr>
        <w:jc w:val="left"/>
        <w:rPr>
          <w:rFonts w:ascii="仿宋" w:hAnsi="仿宋" w:eastAsia="仿宋" w:cs="仿宋"/>
          <w:sz w:val="32"/>
        </w:rPr>
      </w:pPr>
      <w:r>
        <w:rPr>
          <w:rFonts w:hint="eastAsia" w:ascii="仿宋" w:hAnsi="仿宋" w:eastAsia="仿宋" w:cs="仿宋"/>
          <w:sz w:val="32"/>
        </w:rPr>
        <w:t>四、财政拨款收入支出决算总体情况说明</w:t>
      </w:r>
    </w:p>
    <w:p>
      <w:pPr>
        <w:jc w:val="left"/>
        <w:rPr>
          <w:rFonts w:ascii="仿宋" w:hAnsi="仿宋" w:eastAsia="仿宋" w:cs="仿宋"/>
          <w:sz w:val="32"/>
        </w:rPr>
      </w:pPr>
      <w:r>
        <w:rPr>
          <w:rFonts w:hint="eastAsia" w:ascii="仿宋" w:hAnsi="仿宋" w:eastAsia="仿宋" w:cs="仿宋"/>
          <w:sz w:val="32"/>
        </w:rPr>
        <w:t>五、一般公共预算财政拨款支出决算情况说明</w:t>
      </w:r>
    </w:p>
    <w:p>
      <w:pPr>
        <w:jc w:val="left"/>
        <w:rPr>
          <w:rFonts w:ascii="仿宋" w:hAnsi="仿宋" w:eastAsia="仿宋" w:cs="仿宋"/>
          <w:sz w:val="32"/>
        </w:rPr>
      </w:pPr>
      <w:r>
        <w:rPr>
          <w:rFonts w:hint="eastAsia" w:ascii="仿宋" w:hAnsi="仿宋" w:eastAsia="仿宋" w:cs="仿宋"/>
          <w:sz w:val="32"/>
        </w:rPr>
        <w:t xml:space="preserve">六、一般公共预算财政拨款基本支出决算情况说明 </w:t>
      </w:r>
    </w:p>
    <w:p>
      <w:pPr>
        <w:jc w:val="left"/>
        <w:rPr>
          <w:rFonts w:ascii="仿宋" w:hAnsi="仿宋" w:eastAsia="仿宋" w:cs="仿宋"/>
          <w:sz w:val="32"/>
        </w:rPr>
      </w:pPr>
      <w:r>
        <w:rPr>
          <w:rFonts w:hint="eastAsia" w:ascii="仿宋" w:hAnsi="仿宋" w:eastAsia="仿宋" w:cs="仿宋"/>
          <w:sz w:val="32"/>
        </w:rPr>
        <w:t>七、政府性基金预算财政拨款支出决算情况说明</w:t>
      </w:r>
    </w:p>
    <w:p>
      <w:pPr>
        <w:jc w:val="left"/>
        <w:rPr>
          <w:rFonts w:ascii="仿宋" w:hAnsi="仿宋" w:eastAsia="仿宋" w:cs="仿宋"/>
          <w:sz w:val="32"/>
        </w:rPr>
      </w:pPr>
      <w:r>
        <w:rPr>
          <w:rFonts w:hint="eastAsia" w:ascii="仿宋" w:hAnsi="仿宋" w:eastAsia="仿宋" w:cs="仿宋"/>
          <w:sz w:val="32"/>
        </w:rPr>
        <w:t>八、一般公共预算财政拨款“三公”经费支出决算情况说明</w:t>
      </w:r>
    </w:p>
    <w:p>
      <w:pPr>
        <w:jc w:val="left"/>
        <w:rPr>
          <w:rFonts w:ascii="仿宋" w:hAnsi="仿宋" w:eastAsia="仿宋" w:cs="仿宋"/>
          <w:sz w:val="32"/>
        </w:rPr>
      </w:pPr>
      <w:r>
        <w:rPr>
          <w:rFonts w:hint="eastAsia" w:ascii="仿宋" w:hAnsi="仿宋" w:eastAsia="仿宋" w:cs="仿宋"/>
          <w:sz w:val="32"/>
        </w:rPr>
        <w:t>九、预算绩效情况说明</w:t>
      </w:r>
    </w:p>
    <w:p>
      <w:pPr>
        <w:jc w:val="left"/>
        <w:rPr>
          <w:rFonts w:ascii="仿宋" w:hAnsi="仿宋" w:eastAsia="仿宋" w:cs="仿宋"/>
          <w:sz w:val="32"/>
        </w:rPr>
      </w:pPr>
      <w:r>
        <w:rPr>
          <w:rFonts w:hint="eastAsia" w:ascii="仿宋" w:hAnsi="仿宋" w:eastAsia="仿宋" w:cs="仿宋"/>
          <w:sz w:val="32"/>
        </w:rPr>
        <w:t xml:space="preserve">十、其他重要事项情况说明 </w:t>
      </w:r>
    </w:p>
    <w:p>
      <w:pPr>
        <w:rPr>
          <w:rFonts w:ascii="仿宋" w:hAnsi="仿宋" w:eastAsia="仿宋" w:cs="仿宋"/>
          <w:sz w:val="32"/>
        </w:rPr>
      </w:pPr>
    </w:p>
    <w:p>
      <w:pPr>
        <w:rPr>
          <w:rFonts w:ascii="仿宋" w:hAnsi="仿宋" w:eastAsia="仿宋" w:cs="仿宋"/>
          <w:b/>
          <w:bCs/>
          <w:sz w:val="32"/>
        </w:rPr>
      </w:pPr>
      <w:r>
        <w:rPr>
          <w:rFonts w:hint="eastAsia" w:ascii="仿宋" w:hAnsi="仿宋" w:eastAsia="仿宋" w:cs="仿宋"/>
          <w:b/>
          <w:bCs/>
          <w:sz w:val="32"/>
        </w:rPr>
        <w:t>第四部分 名词解释</w:t>
      </w:r>
    </w:p>
    <w:p>
      <w:pPr>
        <w:jc w:val="center"/>
        <w:rPr>
          <w:rFonts w:ascii="仿宋" w:hAnsi="仿宋" w:eastAsia="仿宋" w:cs="仿宋"/>
          <w:sz w:val="44"/>
        </w:rPr>
      </w:pPr>
    </w:p>
    <w:p>
      <w:pPr>
        <w:jc w:val="center"/>
        <w:rPr>
          <w:rFonts w:ascii="仿宋" w:hAnsi="仿宋" w:eastAsia="仿宋" w:cs="仿宋"/>
          <w:sz w:val="44"/>
        </w:rPr>
      </w:pPr>
      <w:r>
        <w:rPr>
          <w:rFonts w:hint="eastAsia" w:ascii="仿宋" w:hAnsi="仿宋" w:eastAsia="仿宋" w:cs="仿宋"/>
          <w:b/>
          <w:bCs/>
          <w:sz w:val="44"/>
        </w:rPr>
        <w:t xml:space="preserve">第一部分 </w:t>
      </w:r>
      <w:r>
        <w:rPr>
          <w:rFonts w:hint="eastAsia" w:ascii="仿宋" w:hAnsi="仿宋" w:eastAsia="仿宋" w:cs="仿宋"/>
          <w:b/>
          <w:bCs/>
          <w:sz w:val="44"/>
          <w:szCs w:val="44"/>
        </w:rPr>
        <w:t>沅江市公路建设养护中心</w:t>
      </w:r>
      <w:r>
        <w:rPr>
          <w:rFonts w:hint="eastAsia" w:ascii="仿宋" w:hAnsi="仿宋" w:eastAsia="仿宋" w:cs="仿宋"/>
          <w:b/>
          <w:bCs/>
          <w:sz w:val="44"/>
        </w:rPr>
        <w:t>概况</w:t>
      </w:r>
    </w:p>
    <w:p>
      <w:pPr>
        <w:jc w:val="center"/>
        <w:rPr>
          <w:rFonts w:ascii="仿宋" w:hAnsi="仿宋" w:eastAsia="仿宋" w:cs="仿宋"/>
          <w:sz w:val="44"/>
        </w:rPr>
      </w:pPr>
    </w:p>
    <w:p>
      <w:pPr>
        <w:jc w:val="left"/>
        <w:rPr>
          <w:rFonts w:ascii="仿宋" w:hAnsi="仿宋" w:eastAsia="仿宋" w:cs="仿宋"/>
          <w:sz w:val="32"/>
        </w:rPr>
      </w:pPr>
      <w:r>
        <w:rPr>
          <w:rFonts w:hint="eastAsia" w:ascii="仿宋" w:hAnsi="仿宋" w:eastAsia="仿宋" w:cs="仿宋"/>
          <w:sz w:val="32"/>
        </w:rPr>
        <w:t>一、主要职能</w:t>
      </w:r>
    </w:p>
    <w:p>
      <w:pPr>
        <w:pStyle w:val="4"/>
        <w:spacing w:line="360" w:lineRule="auto"/>
        <w:ind w:firstLine="640" w:firstLineChars="200"/>
        <w:jc w:val="both"/>
        <w:rPr>
          <w:rFonts w:hint="default" w:ascii="仿宋" w:hAnsi="仿宋" w:eastAsia="仿宋" w:cs="仿宋"/>
          <w:sz w:val="32"/>
        </w:rPr>
      </w:pPr>
      <w:r>
        <w:rPr>
          <w:rFonts w:ascii="仿宋" w:hAnsi="仿宋" w:eastAsia="仿宋" w:cs="仿宋"/>
          <w:sz w:val="32"/>
        </w:rPr>
        <w:t xml:space="preserve">1、贯彻执行上级有关公路交通管理的法律、法规、政策，制定全市公路发展战略、规划和管理办法，并负责组织实施； </w:t>
      </w:r>
    </w:p>
    <w:p>
      <w:pPr>
        <w:pStyle w:val="4"/>
        <w:spacing w:line="360" w:lineRule="auto"/>
        <w:ind w:firstLine="640" w:firstLineChars="200"/>
        <w:jc w:val="both"/>
        <w:rPr>
          <w:rFonts w:hint="default" w:ascii="仿宋" w:hAnsi="仿宋" w:eastAsia="仿宋" w:cs="仿宋"/>
          <w:sz w:val="32"/>
        </w:rPr>
      </w:pPr>
      <w:r>
        <w:rPr>
          <w:rFonts w:ascii="仿宋" w:hAnsi="仿宋" w:eastAsia="仿宋" w:cs="仿宋"/>
          <w:sz w:val="32"/>
        </w:rPr>
        <w:t xml:space="preserve">2、负责编制公路建设、养护计划； </w:t>
      </w:r>
    </w:p>
    <w:p>
      <w:pPr>
        <w:pStyle w:val="4"/>
        <w:numPr>
          <w:ilvl w:val="0"/>
          <w:numId w:val="1"/>
        </w:numPr>
        <w:spacing w:line="360" w:lineRule="auto"/>
        <w:ind w:firstLine="640" w:firstLineChars="200"/>
        <w:jc w:val="both"/>
        <w:rPr>
          <w:rFonts w:hint="default" w:ascii="仿宋" w:hAnsi="仿宋" w:eastAsia="仿宋" w:cs="仿宋"/>
          <w:sz w:val="32"/>
        </w:rPr>
      </w:pPr>
      <w:r>
        <w:rPr>
          <w:rFonts w:ascii="仿宋" w:hAnsi="仿宋" w:eastAsia="仿宋" w:cs="仿宋"/>
          <w:sz w:val="32"/>
        </w:rPr>
        <w:t>具体组织实施国省干线公路及县道的日常养护、危桥改造、安保工程、水毁处置、应急抢险、公路战备等工作；</w:t>
      </w:r>
    </w:p>
    <w:p>
      <w:pPr>
        <w:pStyle w:val="4"/>
        <w:numPr>
          <w:ilvl w:val="0"/>
          <w:numId w:val="1"/>
        </w:numPr>
        <w:spacing w:line="360" w:lineRule="auto"/>
        <w:ind w:firstLine="640" w:firstLineChars="200"/>
        <w:jc w:val="both"/>
        <w:rPr>
          <w:rFonts w:hint="default" w:ascii="仿宋" w:hAnsi="仿宋" w:eastAsia="仿宋" w:cs="仿宋"/>
          <w:sz w:val="32"/>
        </w:rPr>
      </w:pPr>
      <w:r>
        <w:rPr>
          <w:rFonts w:ascii="仿宋" w:hAnsi="仿宋" w:eastAsia="仿宋" w:cs="仿宋"/>
          <w:sz w:val="32"/>
        </w:rPr>
        <w:t>负责全市路政管理、路政执法和公路超限超载治理工作；　　</w:t>
      </w:r>
    </w:p>
    <w:p>
      <w:pPr>
        <w:pStyle w:val="4"/>
        <w:numPr>
          <w:ilvl w:val="0"/>
          <w:numId w:val="1"/>
        </w:numPr>
        <w:spacing w:line="360" w:lineRule="auto"/>
        <w:ind w:firstLine="640" w:firstLineChars="200"/>
        <w:jc w:val="both"/>
        <w:rPr>
          <w:rFonts w:hint="default" w:ascii="仿宋" w:hAnsi="仿宋" w:eastAsia="仿宋" w:cs="仿宋"/>
          <w:sz w:val="32"/>
        </w:rPr>
      </w:pPr>
      <w:r>
        <w:rPr>
          <w:rFonts w:ascii="仿宋" w:hAnsi="仿宋" w:eastAsia="仿宋" w:cs="仿宋"/>
          <w:sz w:val="32"/>
        </w:rPr>
        <w:t>负责全市立项的农村公路建设项目的工程设计、施工和质量安全。　　</w:t>
      </w:r>
    </w:p>
    <w:p>
      <w:pPr>
        <w:pStyle w:val="4"/>
        <w:spacing w:line="360" w:lineRule="auto"/>
        <w:ind w:firstLine="640" w:firstLineChars="200"/>
        <w:jc w:val="both"/>
        <w:rPr>
          <w:rFonts w:hint="default" w:ascii="仿宋" w:hAnsi="仿宋" w:eastAsia="仿宋" w:cs="仿宋"/>
          <w:sz w:val="32"/>
        </w:rPr>
      </w:pPr>
      <w:r>
        <w:rPr>
          <w:rFonts w:ascii="仿宋" w:hAnsi="仿宋" w:eastAsia="仿宋" w:cs="仿宋"/>
          <w:sz w:val="32"/>
        </w:rPr>
        <w:t>6、负责全市农村公路的建设、管理和养护，指导镇（街道）对镇（街道）、村级公路的管理和养护、应急抢险等工作；</w:t>
      </w:r>
    </w:p>
    <w:p>
      <w:pPr>
        <w:pStyle w:val="4"/>
        <w:spacing w:line="360" w:lineRule="auto"/>
        <w:ind w:firstLine="640" w:firstLineChars="200"/>
        <w:jc w:val="both"/>
        <w:rPr>
          <w:rFonts w:hint="default" w:ascii="仿宋" w:hAnsi="仿宋" w:eastAsia="仿宋" w:cs="仿宋"/>
          <w:sz w:val="32"/>
        </w:rPr>
      </w:pPr>
      <w:r>
        <w:rPr>
          <w:rFonts w:ascii="仿宋" w:hAnsi="仿宋" w:eastAsia="仿宋" w:cs="仿宋"/>
          <w:sz w:val="32"/>
        </w:rPr>
        <w:t>7、制定公路科技政策和规范，负责公路科学技术研究和新技术、新材料、新工艺的推广运用；　</w:t>
      </w:r>
    </w:p>
    <w:p>
      <w:pPr>
        <w:pStyle w:val="4"/>
        <w:spacing w:line="360" w:lineRule="auto"/>
        <w:ind w:firstLine="640" w:firstLineChars="200"/>
        <w:jc w:val="both"/>
        <w:rPr>
          <w:rFonts w:hint="default" w:ascii="仿宋" w:hAnsi="仿宋" w:eastAsia="仿宋" w:cs="仿宋"/>
          <w:sz w:val="32"/>
        </w:rPr>
      </w:pPr>
      <w:r>
        <w:rPr>
          <w:rFonts w:ascii="仿宋" w:hAnsi="仿宋" w:eastAsia="仿宋" w:cs="仿宋"/>
          <w:sz w:val="32"/>
        </w:rPr>
        <w:t xml:space="preserve">8、负责本单位精神文明建设、党的建设、干职工队伍建设和劳动人事管理等工作； </w:t>
      </w:r>
    </w:p>
    <w:p>
      <w:pPr>
        <w:pStyle w:val="4"/>
        <w:spacing w:line="360" w:lineRule="auto"/>
        <w:ind w:firstLine="640" w:firstLineChars="200"/>
        <w:jc w:val="both"/>
        <w:rPr>
          <w:rFonts w:hint="default" w:ascii="仿宋" w:hAnsi="仿宋" w:eastAsia="仿宋" w:cs="仿宋"/>
          <w:sz w:val="32"/>
        </w:rPr>
      </w:pPr>
      <w:r>
        <w:rPr>
          <w:rFonts w:ascii="仿宋" w:hAnsi="仿宋" w:eastAsia="仿宋" w:cs="仿宋"/>
          <w:sz w:val="32"/>
        </w:rPr>
        <w:t>9、负责管理本局下属各单位；</w:t>
      </w:r>
    </w:p>
    <w:p>
      <w:pPr>
        <w:pStyle w:val="4"/>
        <w:spacing w:line="360" w:lineRule="auto"/>
        <w:ind w:firstLine="640" w:firstLineChars="200"/>
        <w:jc w:val="both"/>
        <w:rPr>
          <w:rFonts w:hint="default" w:ascii="仿宋" w:hAnsi="仿宋" w:eastAsia="仿宋" w:cs="仿宋"/>
          <w:sz w:val="32"/>
        </w:rPr>
      </w:pPr>
      <w:r>
        <w:rPr>
          <w:rFonts w:ascii="仿宋" w:hAnsi="仿宋" w:eastAsia="仿宋" w:cs="仿宋"/>
          <w:sz w:val="32"/>
        </w:rPr>
        <w:t>10、承办市委、市人民政府和上级业务主管部门交办的其他事项。　　</w:t>
      </w:r>
    </w:p>
    <w:p>
      <w:pPr>
        <w:ind w:left="795" w:hanging="795"/>
        <w:rPr>
          <w:rFonts w:ascii="仿宋" w:hAnsi="仿宋" w:eastAsia="仿宋" w:cs="仿宋"/>
          <w:sz w:val="32"/>
        </w:rPr>
      </w:pPr>
      <w:r>
        <w:rPr>
          <w:rFonts w:hint="eastAsia" w:ascii="仿宋" w:hAnsi="仿宋" w:eastAsia="仿宋" w:cs="仿宋"/>
          <w:sz w:val="32"/>
        </w:rPr>
        <w:t>二、机构设置</w:t>
      </w:r>
    </w:p>
    <w:p>
      <w:pPr>
        <w:spacing w:line="360" w:lineRule="auto"/>
        <w:ind w:firstLine="640" w:firstLineChars="200"/>
        <w:rPr>
          <w:rFonts w:ascii="仿宋" w:hAnsi="仿宋" w:eastAsia="仿宋" w:cs="仿宋"/>
          <w:color w:val="000000"/>
          <w:kern w:val="0"/>
          <w:sz w:val="32"/>
        </w:rPr>
      </w:pPr>
      <w:r>
        <w:rPr>
          <w:rFonts w:hint="eastAsia" w:ascii="仿宋" w:hAnsi="仿宋" w:eastAsia="仿宋" w:cs="仿宋"/>
          <w:color w:val="000000"/>
          <w:kern w:val="0"/>
          <w:sz w:val="32"/>
        </w:rPr>
        <w:t>1、根据编委核定，我局内设股室</w:t>
      </w:r>
      <w:r>
        <w:rPr>
          <w:rFonts w:hint="eastAsia" w:ascii="仿宋" w:hAnsi="仿宋" w:eastAsia="仿宋" w:cs="仿宋"/>
          <w:color w:val="000000"/>
          <w:kern w:val="0"/>
          <w:sz w:val="32"/>
          <w:u w:val="single"/>
        </w:rPr>
        <w:t>10</w:t>
      </w:r>
      <w:r>
        <w:rPr>
          <w:rFonts w:hint="eastAsia" w:ascii="仿宋" w:hAnsi="仿宋" w:eastAsia="仿宋" w:cs="仿宋"/>
          <w:color w:val="000000"/>
          <w:kern w:val="0"/>
          <w:sz w:val="32"/>
        </w:rPr>
        <w:t>个，所属事业单位</w:t>
      </w:r>
      <w:r>
        <w:rPr>
          <w:rFonts w:hint="eastAsia" w:ascii="仿宋" w:hAnsi="仿宋" w:eastAsia="仿宋" w:cs="仿宋"/>
          <w:color w:val="000000"/>
          <w:kern w:val="0"/>
          <w:sz w:val="32"/>
          <w:u w:val="single"/>
        </w:rPr>
        <w:t>0</w:t>
      </w:r>
      <w:r>
        <w:rPr>
          <w:rFonts w:hint="eastAsia" w:ascii="仿宋" w:hAnsi="仿宋" w:eastAsia="仿宋" w:cs="仿宋"/>
          <w:color w:val="000000"/>
          <w:kern w:val="0"/>
          <w:sz w:val="32"/>
        </w:rPr>
        <w:t>个，全部纳入2019年部门预算编制范围。 </w:t>
      </w:r>
    </w:p>
    <w:p>
      <w:pPr>
        <w:spacing w:line="360" w:lineRule="auto"/>
        <w:ind w:firstLine="640" w:firstLineChars="200"/>
        <w:rPr>
          <w:rFonts w:ascii="仿宋" w:hAnsi="仿宋" w:eastAsia="仿宋" w:cs="仿宋"/>
          <w:sz w:val="32"/>
        </w:rPr>
      </w:pPr>
      <w:r>
        <w:rPr>
          <w:rFonts w:hint="eastAsia" w:ascii="仿宋" w:hAnsi="仿宋" w:eastAsia="仿宋" w:cs="仿宋"/>
          <w:sz w:val="32"/>
        </w:rPr>
        <w:t>2．人员情况:2019年本单位年未实有人数99人，比上年</w:t>
      </w:r>
      <w:r>
        <w:rPr>
          <w:rFonts w:hint="eastAsia" w:ascii="仿宋" w:hAnsi="仿宋" w:eastAsia="仿宋" w:cs="仿宋"/>
          <w:sz w:val="32"/>
          <w:lang w:val="zh-CN"/>
        </w:rPr>
        <w:t>减少</w:t>
      </w:r>
      <w:r>
        <w:rPr>
          <w:rFonts w:hint="eastAsia" w:ascii="仿宋" w:hAnsi="仿宋" w:eastAsia="仿宋" w:cs="仿宋"/>
          <w:sz w:val="32"/>
        </w:rPr>
        <w:t>3人。人员变化的主要原因是：职工正常退休。</w:t>
      </w:r>
    </w:p>
    <w:p>
      <w:pPr>
        <w:ind w:left="795" w:hanging="795"/>
        <w:jc w:val="left"/>
        <w:rPr>
          <w:rFonts w:ascii="仿宋" w:hAnsi="仿宋" w:eastAsia="仿宋" w:cs="仿宋"/>
          <w:sz w:val="32"/>
        </w:rPr>
      </w:pPr>
      <w:r>
        <w:rPr>
          <w:rFonts w:hint="eastAsia" w:ascii="仿宋" w:hAnsi="仿宋" w:eastAsia="仿宋" w:cs="仿宋"/>
          <w:sz w:val="32"/>
        </w:rPr>
        <w:t>三、部门决算单位构成</w:t>
      </w:r>
    </w:p>
    <w:p>
      <w:pPr>
        <w:ind w:firstLine="640"/>
        <w:rPr>
          <w:rFonts w:ascii="仿宋" w:hAnsi="仿宋" w:eastAsia="仿宋" w:cs="仿宋"/>
          <w:sz w:val="32"/>
        </w:rPr>
      </w:pPr>
      <w:r>
        <w:rPr>
          <w:rFonts w:hint="eastAsia" w:ascii="仿宋" w:hAnsi="仿宋" w:eastAsia="仿宋" w:cs="仿宋"/>
          <w:sz w:val="32"/>
        </w:rPr>
        <w:t>从决算单位构成看，沅江市公路建设养护中心部门决算只包括：沅江市公路建设养护中心部门决算、没有下属单位决算。</w:t>
      </w:r>
    </w:p>
    <w:p>
      <w:pPr>
        <w:ind w:firstLine="640"/>
        <w:rPr>
          <w:rFonts w:ascii="仿宋" w:hAnsi="仿宋" w:eastAsia="仿宋" w:cs="仿宋"/>
          <w:sz w:val="32"/>
        </w:rPr>
      </w:pPr>
    </w:p>
    <w:tbl>
      <w:tblPr>
        <w:tblStyle w:val="5"/>
        <w:tblW w:w="0" w:type="auto"/>
        <w:tblInd w:w="98" w:type="dxa"/>
        <w:tblLayout w:type="autofit"/>
        <w:tblCellMar>
          <w:top w:w="0" w:type="dxa"/>
          <w:left w:w="10" w:type="dxa"/>
          <w:bottom w:w="0" w:type="dxa"/>
          <w:right w:w="10" w:type="dxa"/>
        </w:tblCellMar>
      </w:tblPr>
      <w:tblGrid>
        <w:gridCol w:w="1273"/>
        <w:gridCol w:w="3575"/>
        <w:gridCol w:w="3575"/>
      </w:tblGrid>
      <w:tr>
        <w:tblPrEx>
          <w:tblCellMar>
            <w:top w:w="0" w:type="dxa"/>
            <w:left w:w="10" w:type="dxa"/>
            <w:bottom w:w="0" w:type="dxa"/>
            <w:right w:w="10" w:type="dxa"/>
          </w:tblCellMar>
        </w:tblPrEx>
        <w:trPr>
          <w:trHeight w:val="1" w:hRule="atLeast"/>
        </w:trPr>
        <w:tc>
          <w:tcPr>
            <w:tcW w:w="127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rPr>
                <w:rFonts w:ascii="仿宋" w:hAnsi="仿宋" w:eastAsia="仿宋" w:cs="仿宋"/>
              </w:rPr>
            </w:pPr>
            <w:r>
              <w:rPr>
                <w:rFonts w:hint="eastAsia" w:ascii="仿宋" w:hAnsi="仿宋" w:eastAsia="仿宋" w:cs="仿宋"/>
                <w:sz w:val="28"/>
              </w:rPr>
              <w:t>序号</w:t>
            </w:r>
          </w:p>
        </w:tc>
        <w:tc>
          <w:tcPr>
            <w:tcW w:w="35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rPr>
                <w:rFonts w:ascii="仿宋" w:hAnsi="仿宋" w:eastAsia="仿宋" w:cs="仿宋"/>
              </w:rPr>
            </w:pPr>
            <w:r>
              <w:rPr>
                <w:rFonts w:hint="eastAsia" w:ascii="仿宋" w:hAnsi="仿宋" w:eastAsia="仿宋" w:cs="仿宋"/>
                <w:sz w:val="28"/>
              </w:rPr>
              <w:t>单位名称</w:t>
            </w:r>
          </w:p>
        </w:tc>
        <w:tc>
          <w:tcPr>
            <w:tcW w:w="35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rPr>
                <w:rFonts w:ascii="仿宋" w:hAnsi="仿宋" w:eastAsia="仿宋" w:cs="仿宋"/>
                <w:sz w:val="28"/>
              </w:rPr>
            </w:pPr>
          </w:p>
        </w:tc>
      </w:tr>
      <w:tr>
        <w:tblPrEx>
          <w:tblCellMar>
            <w:top w:w="0" w:type="dxa"/>
            <w:left w:w="10" w:type="dxa"/>
            <w:bottom w:w="0" w:type="dxa"/>
            <w:right w:w="10" w:type="dxa"/>
          </w:tblCellMar>
        </w:tblPrEx>
        <w:trPr>
          <w:trHeight w:val="1" w:hRule="atLeast"/>
        </w:trPr>
        <w:tc>
          <w:tcPr>
            <w:tcW w:w="127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rPr>
                <w:rFonts w:ascii="仿宋" w:hAnsi="仿宋" w:eastAsia="仿宋" w:cs="仿宋"/>
              </w:rPr>
            </w:pPr>
            <w:r>
              <w:rPr>
                <w:rFonts w:hint="eastAsia" w:ascii="仿宋" w:hAnsi="仿宋" w:eastAsia="仿宋" w:cs="仿宋"/>
                <w:sz w:val="28"/>
              </w:rPr>
              <w:t>1</w:t>
            </w:r>
          </w:p>
        </w:tc>
        <w:tc>
          <w:tcPr>
            <w:tcW w:w="35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仿宋" w:hAnsi="仿宋" w:eastAsia="仿宋" w:cs="仿宋"/>
                <w:sz w:val="30"/>
                <w:szCs w:val="30"/>
              </w:rPr>
            </w:pPr>
            <w:r>
              <w:rPr>
                <w:rFonts w:hint="eastAsia" w:ascii="仿宋" w:hAnsi="仿宋" w:eastAsia="仿宋" w:cs="仿宋"/>
                <w:sz w:val="30"/>
                <w:szCs w:val="30"/>
              </w:rPr>
              <w:t>沅江市公路建设养护中心</w:t>
            </w:r>
          </w:p>
        </w:tc>
        <w:tc>
          <w:tcPr>
            <w:tcW w:w="35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仿宋" w:hAnsi="仿宋" w:eastAsia="仿宋" w:cs="仿宋"/>
                <w:sz w:val="22"/>
              </w:rPr>
            </w:pPr>
          </w:p>
        </w:tc>
      </w:tr>
      <w:tr>
        <w:tblPrEx>
          <w:tblCellMar>
            <w:top w:w="0" w:type="dxa"/>
            <w:left w:w="10" w:type="dxa"/>
            <w:bottom w:w="0" w:type="dxa"/>
            <w:right w:w="10" w:type="dxa"/>
          </w:tblCellMar>
        </w:tblPrEx>
        <w:trPr>
          <w:trHeight w:val="1" w:hRule="atLeast"/>
        </w:trPr>
        <w:tc>
          <w:tcPr>
            <w:tcW w:w="127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rPr>
                <w:rFonts w:ascii="仿宋" w:hAnsi="仿宋" w:eastAsia="仿宋" w:cs="仿宋"/>
              </w:rPr>
            </w:pPr>
            <w:r>
              <w:rPr>
                <w:rFonts w:hint="eastAsia" w:ascii="仿宋" w:hAnsi="仿宋" w:eastAsia="仿宋" w:cs="仿宋"/>
                <w:sz w:val="28"/>
              </w:rPr>
              <w:t>2</w:t>
            </w:r>
          </w:p>
        </w:tc>
        <w:tc>
          <w:tcPr>
            <w:tcW w:w="35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仿宋" w:hAnsi="仿宋" w:eastAsia="仿宋" w:cs="仿宋"/>
                <w:sz w:val="22"/>
              </w:rPr>
            </w:pPr>
          </w:p>
        </w:tc>
        <w:tc>
          <w:tcPr>
            <w:tcW w:w="35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仿宋" w:hAnsi="仿宋" w:eastAsia="仿宋" w:cs="仿宋"/>
                <w:sz w:val="22"/>
              </w:rPr>
            </w:pPr>
          </w:p>
        </w:tc>
      </w:tr>
      <w:tr>
        <w:tblPrEx>
          <w:tblCellMar>
            <w:top w:w="0" w:type="dxa"/>
            <w:left w:w="10" w:type="dxa"/>
            <w:bottom w:w="0" w:type="dxa"/>
            <w:right w:w="10" w:type="dxa"/>
          </w:tblCellMar>
        </w:tblPrEx>
        <w:trPr>
          <w:trHeight w:val="1" w:hRule="atLeast"/>
        </w:trPr>
        <w:tc>
          <w:tcPr>
            <w:tcW w:w="127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rPr>
                <w:rFonts w:ascii="仿宋" w:hAnsi="仿宋" w:eastAsia="仿宋" w:cs="仿宋"/>
              </w:rPr>
            </w:pPr>
            <w:r>
              <w:rPr>
                <w:rFonts w:hint="eastAsia" w:ascii="仿宋" w:hAnsi="仿宋" w:eastAsia="仿宋" w:cs="仿宋"/>
                <w:sz w:val="28"/>
              </w:rPr>
              <w:t>3</w:t>
            </w:r>
          </w:p>
        </w:tc>
        <w:tc>
          <w:tcPr>
            <w:tcW w:w="35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仿宋" w:hAnsi="仿宋" w:eastAsia="仿宋" w:cs="仿宋"/>
                <w:sz w:val="22"/>
              </w:rPr>
            </w:pPr>
          </w:p>
        </w:tc>
        <w:tc>
          <w:tcPr>
            <w:tcW w:w="35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仿宋" w:hAnsi="仿宋" w:eastAsia="仿宋" w:cs="仿宋"/>
                <w:sz w:val="22"/>
              </w:rPr>
            </w:pPr>
          </w:p>
        </w:tc>
      </w:tr>
      <w:tr>
        <w:tblPrEx>
          <w:tblCellMar>
            <w:top w:w="0" w:type="dxa"/>
            <w:left w:w="10" w:type="dxa"/>
            <w:bottom w:w="0" w:type="dxa"/>
            <w:right w:w="10" w:type="dxa"/>
          </w:tblCellMar>
        </w:tblPrEx>
        <w:trPr>
          <w:trHeight w:val="1" w:hRule="atLeast"/>
        </w:trPr>
        <w:tc>
          <w:tcPr>
            <w:tcW w:w="127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rPr>
                <w:rFonts w:ascii="仿宋" w:hAnsi="仿宋" w:eastAsia="仿宋" w:cs="仿宋"/>
              </w:rPr>
            </w:pPr>
            <w:r>
              <w:rPr>
                <w:rFonts w:hint="eastAsia" w:ascii="仿宋" w:hAnsi="仿宋" w:eastAsia="仿宋" w:cs="仿宋"/>
                <w:sz w:val="28"/>
              </w:rPr>
              <w:t>4</w:t>
            </w:r>
          </w:p>
        </w:tc>
        <w:tc>
          <w:tcPr>
            <w:tcW w:w="35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仿宋" w:hAnsi="仿宋" w:eastAsia="仿宋" w:cs="仿宋"/>
                <w:sz w:val="22"/>
              </w:rPr>
            </w:pPr>
          </w:p>
        </w:tc>
        <w:tc>
          <w:tcPr>
            <w:tcW w:w="35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仿宋" w:hAnsi="仿宋" w:eastAsia="仿宋" w:cs="仿宋"/>
                <w:sz w:val="22"/>
              </w:rPr>
            </w:pPr>
          </w:p>
        </w:tc>
      </w:tr>
      <w:tr>
        <w:tblPrEx>
          <w:tblCellMar>
            <w:top w:w="0" w:type="dxa"/>
            <w:left w:w="10" w:type="dxa"/>
            <w:bottom w:w="0" w:type="dxa"/>
            <w:right w:w="10" w:type="dxa"/>
          </w:tblCellMar>
        </w:tblPrEx>
        <w:trPr>
          <w:trHeight w:val="1" w:hRule="atLeast"/>
        </w:trPr>
        <w:tc>
          <w:tcPr>
            <w:tcW w:w="127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rPr>
                <w:rFonts w:ascii="仿宋" w:hAnsi="仿宋" w:eastAsia="仿宋" w:cs="仿宋"/>
              </w:rPr>
            </w:pPr>
            <w:r>
              <w:rPr>
                <w:rFonts w:hint="eastAsia" w:ascii="仿宋" w:hAnsi="仿宋" w:eastAsia="仿宋" w:cs="仿宋"/>
                <w:sz w:val="28"/>
              </w:rPr>
              <w:t>5</w:t>
            </w:r>
          </w:p>
        </w:tc>
        <w:tc>
          <w:tcPr>
            <w:tcW w:w="35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仿宋" w:hAnsi="仿宋" w:eastAsia="仿宋" w:cs="仿宋"/>
                <w:sz w:val="22"/>
              </w:rPr>
            </w:pPr>
          </w:p>
        </w:tc>
        <w:tc>
          <w:tcPr>
            <w:tcW w:w="35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仿宋" w:hAnsi="仿宋" w:eastAsia="仿宋" w:cs="仿宋"/>
                <w:sz w:val="22"/>
              </w:rPr>
            </w:pPr>
          </w:p>
        </w:tc>
      </w:tr>
      <w:tr>
        <w:tblPrEx>
          <w:tblCellMar>
            <w:top w:w="0" w:type="dxa"/>
            <w:left w:w="10" w:type="dxa"/>
            <w:bottom w:w="0" w:type="dxa"/>
            <w:right w:w="10" w:type="dxa"/>
          </w:tblCellMar>
        </w:tblPrEx>
        <w:trPr>
          <w:trHeight w:val="1" w:hRule="atLeast"/>
        </w:trPr>
        <w:tc>
          <w:tcPr>
            <w:tcW w:w="127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rPr>
                <w:rFonts w:ascii="仿宋" w:hAnsi="仿宋" w:eastAsia="仿宋" w:cs="仿宋"/>
              </w:rPr>
            </w:pPr>
            <w:r>
              <w:rPr>
                <w:rFonts w:hint="eastAsia" w:ascii="仿宋" w:hAnsi="仿宋" w:eastAsia="仿宋" w:cs="仿宋"/>
                <w:sz w:val="28"/>
              </w:rPr>
              <w:t>6</w:t>
            </w:r>
          </w:p>
        </w:tc>
        <w:tc>
          <w:tcPr>
            <w:tcW w:w="35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仿宋" w:hAnsi="仿宋" w:eastAsia="仿宋" w:cs="仿宋"/>
                <w:sz w:val="22"/>
              </w:rPr>
            </w:pPr>
          </w:p>
        </w:tc>
        <w:tc>
          <w:tcPr>
            <w:tcW w:w="35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仿宋" w:hAnsi="仿宋" w:eastAsia="仿宋" w:cs="仿宋"/>
                <w:sz w:val="22"/>
              </w:rPr>
            </w:pPr>
          </w:p>
        </w:tc>
      </w:tr>
    </w:tbl>
    <w:p>
      <w:pPr>
        <w:rPr>
          <w:rFonts w:ascii="仿宋" w:hAnsi="仿宋" w:eastAsia="仿宋" w:cs="仿宋"/>
          <w:sz w:val="32"/>
        </w:rPr>
      </w:pPr>
    </w:p>
    <w:p>
      <w:pPr>
        <w:jc w:val="center"/>
        <w:rPr>
          <w:rFonts w:ascii="仿宋" w:hAnsi="仿宋" w:eastAsia="仿宋" w:cs="仿宋"/>
          <w:b/>
          <w:bCs/>
          <w:sz w:val="44"/>
        </w:rPr>
      </w:pPr>
      <w:r>
        <w:rPr>
          <w:rFonts w:hint="eastAsia" w:ascii="仿宋" w:hAnsi="仿宋" w:eastAsia="仿宋" w:cs="仿宋"/>
          <w:b/>
          <w:bCs/>
          <w:sz w:val="44"/>
        </w:rPr>
        <w:t xml:space="preserve">第二部分 </w:t>
      </w:r>
      <w:r>
        <w:rPr>
          <w:rFonts w:hint="eastAsia" w:ascii="仿宋" w:hAnsi="仿宋" w:eastAsia="仿宋" w:cs="仿宋"/>
          <w:b/>
          <w:bCs/>
          <w:sz w:val="44"/>
          <w:szCs w:val="44"/>
        </w:rPr>
        <w:t>沅江市公路建设养护中心</w:t>
      </w:r>
      <w:r>
        <w:rPr>
          <w:rFonts w:hint="eastAsia" w:ascii="仿宋" w:hAnsi="仿宋" w:eastAsia="仿宋" w:cs="仿宋"/>
          <w:b/>
          <w:bCs/>
          <w:sz w:val="44"/>
        </w:rPr>
        <w:t>2019年度部门决算表</w:t>
      </w:r>
    </w:p>
    <w:p>
      <w:pPr>
        <w:ind w:firstLine="640"/>
        <w:rPr>
          <w:rFonts w:ascii="仿宋" w:hAnsi="仿宋" w:eastAsia="仿宋" w:cs="仿宋"/>
          <w:b/>
          <w:bCs/>
          <w:sz w:val="32"/>
        </w:rPr>
      </w:pPr>
    </w:p>
    <w:p>
      <w:pPr>
        <w:jc w:val="left"/>
        <w:rPr>
          <w:rFonts w:ascii="仿宋" w:hAnsi="仿宋" w:eastAsia="仿宋" w:cs="仿宋"/>
          <w:sz w:val="32"/>
        </w:rPr>
      </w:pPr>
      <w:r>
        <w:rPr>
          <w:rFonts w:hint="eastAsia" w:ascii="仿宋" w:hAnsi="仿宋" w:eastAsia="仿宋" w:cs="仿宋"/>
          <w:sz w:val="32"/>
        </w:rPr>
        <w:t>表1：收入支出决算总表</w:t>
      </w:r>
    </w:p>
    <w:p>
      <w:pPr>
        <w:jc w:val="left"/>
        <w:rPr>
          <w:rFonts w:ascii="仿宋" w:hAnsi="仿宋" w:eastAsia="仿宋" w:cs="仿宋"/>
          <w:sz w:val="32"/>
        </w:rPr>
      </w:pPr>
      <w:r>
        <w:rPr>
          <w:rFonts w:hint="eastAsia" w:ascii="仿宋" w:hAnsi="仿宋" w:eastAsia="仿宋" w:cs="仿宋"/>
          <w:sz w:val="32"/>
        </w:rPr>
        <w:t>表2：收入决算表</w:t>
      </w:r>
    </w:p>
    <w:p>
      <w:pPr>
        <w:jc w:val="left"/>
        <w:rPr>
          <w:rFonts w:ascii="仿宋" w:hAnsi="仿宋" w:eastAsia="仿宋" w:cs="仿宋"/>
          <w:sz w:val="32"/>
        </w:rPr>
      </w:pPr>
      <w:r>
        <w:rPr>
          <w:rFonts w:hint="eastAsia" w:ascii="仿宋" w:hAnsi="仿宋" w:eastAsia="仿宋" w:cs="仿宋"/>
          <w:sz w:val="32"/>
        </w:rPr>
        <w:t>表3：支出决算表</w:t>
      </w:r>
    </w:p>
    <w:p>
      <w:pPr>
        <w:jc w:val="left"/>
        <w:rPr>
          <w:rFonts w:ascii="仿宋" w:hAnsi="仿宋" w:eastAsia="仿宋" w:cs="仿宋"/>
          <w:sz w:val="32"/>
        </w:rPr>
      </w:pPr>
      <w:r>
        <w:rPr>
          <w:rFonts w:hint="eastAsia" w:ascii="仿宋" w:hAnsi="仿宋" w:eastAsia="仿宋" w:cs="仿宋"/>
          <w:sz w:val="32"/>
        </w:rPr>
        <w:t>表4：财政拨款收入支出决算总表</w:t>
      </w:r>
    </w:p>
    <w:p>
      <w:pPr>
        <w:jc w:val="left"/>
        <w:rPr>
          <w:rFonts w:ascii="仿宋" w:hAnsi="仿宋" w:eastAsia="仿宋" w:cs="仿宋"/>
          <w:sz w:val="32"/>
        </w:rPr>
      </w:pPr>
      <w:r>
        <w:rPr>
          <w:rFonts w:hint="eastAsia" w:ascii="仿宋" w:hAnsi="仿宋" w:eastAsia="仿宋" w:cs="仿宋"/>
          <w:sz w:val="32"/>
        </w:rPr>
        <w:t>表5：一般公共预算财政拨款支出决算表</w:t>
      </w:r>
    </w:p>
    <w:p>
      <w:pPr>
        <w:jc w:val="left"/>
        <w:rPr>
          <w:rFonts w:ascii="仿宋" w:hAnsi="仿宋" w:eastAsia="仿宋" w:cs="仿宋"/>
          <w:sz w:val="32"/>
        </w:rPr>
      </w:pPr>
      <w:r>
        <w:rPr>
          <w:rFonts w:hint="eastAsia" w:ascii="仿宋" w:hAnsi="仿宋" w:eastAsia="仿宋" w:cs="仿宋"/>
          <w:sz w:val="32"/>
        </w:rPr>
        <w:t>表6：一般公共预算财政拨款基本支出决算表</w:t>
      </w:r>
    </w:p>
    <w:p>
      <w:pPr>
        <w:jc w:val="left"/>
        <w:rPr>
          <w:rFonts w:ascii="仿宋" w:hAnsi="仿宋" w:eastAsia="仿宋" w:cs="仿宋"/>
          <w:sz w:val="32"/>
        </w:rPr>
      </w:pPr>
      <w:r>
        <w:rPr>
          <w:rFonts w:hint="eastAsia" w:ascii="仿宋" w:hAnsi="仿宋" w:eastAsia="仿宋" w:cs="仿宋"/>
          <w:sz w:val="32"/>
        </w:rPr>
        <w:t>表7：一般公共预算财政拨款“三公”经费支出决算表</w:t>
      </w:r>
    </w:p>
    <w:p>
      <w:pPr>
        <w:jc w:val="left"/>
        <w:rPr>
          <w:rFonts w:ascii="仿宋" w:hAnsi="仿宋" w:eastAsia="仿宋" w:cs="仿宋"/>
          <w:sz w:val="32"/>
        </w:rPr>
      </w:pPr>
      <w:r>
        <w:rPr>
          <w:rFonts w:hint="eastAsia" w:ascii="仿宋" w:hAnsi="仿宋" w:eastAsia="仿宋" w:cs="仿宋"/>
          <w:sz w:val="32"/>
        </w:rPr>
        <w:t>表8：政府性基金预算财政拨款收入支出决算表</w:t>
      </w:r>
    </w:p>
    <w:p>
      <w:pPr>
        <w:jc w:val="left"/>
        <w:rPr>
          <w:rFonts w:ascii="仿宋" w:hAnsi="仿宋" w:eastAsia="仿宋" w:cs="仿宋"/>
          <w:b/>
          <w:sz w:val="32"/>
        </w:rPr>
      </w:pPr>
    </w:p>
    <w:p>
      <w:pPr>
        <w:ind w:firstLine="640"/>
        <w:jc w:val="left"/>
        <w:rPr>
          <w:rFonts w:ascii="仿宋" w:hAnsi="仿宋" w:eastAsia="仿宋" w:cs="仿宋"/>
          <w:b/>
          <w:bCs/>
          <w:sz w:val="32"/>
        </w:rPr>
      </w:pPr>
    </w:p>
    <w:p>
      <w:pPr>
        <w:jc w:val="center"/>
        <w:rPr>
          <w:rFonts w:ascii="仿宋" w:hAnsi="仿宋" w:eastAsia="仿宋" w:cs="仿宋"/>
          <w:b/>
          <w:bCs/>
          <w:sz w:val="44"/>
        </w:rPr>
      </w:pPr>
      <w:r>
        <w:rPr>
          <w:rFonts w:hint="eastAsia" w:ascii="仿宋" w:hAnsi="仿宋" w:eastAsia="仿宋" w:cs="仿宋"/>
          <w:b/>
          <w:bCs/>
          <w:sz w:val="44"/>
        </w:rPr>
        <w:t>第三部分</w:t>
      </w:r>
    </w:p>
    <w:p>
      <w:pPr>
        <w:jc w:val="center"/>
        <w:rPr>
          <w:rFonts w:ascii="仿宋" w:hAnsi="仿宋" w:eastAsia="仿宋" w:cs="仿宋"/>
          <w:b/>
          <w:bCs/>
          <w:sz w:val="44"/>
          <w:szCs w:val="44"/>
        </w:rPr>
      </w:pPr>
      <w:r>
        <w:rPr>
          <w:rFonts w:hint="eastAsia" w:ascii="仿宋" w:hAnsi="仿宋" w:eastAsia="仿宋" w:cs="仿宋"/>
          <w:b/>
          <w:bCs/>
          <w:sz w:val="44"/>
          <w:szCs w:val="44"/>
        </w:rPr>
        <w:t>沅江市公路建设养护中心2019 年度部门决算情况说明</w:t>
      </w:r>
    </w:p>
    <w:p>
      <w:pPr>
        <w:ind w:firstLine="640"/>
        <w:jc w:val="left"/>
        <w:rPr>
          <w:rFonts w:ascii="仿宋" w:hAnsi="仿宋" w:eastAsia="仿宋" w:cs="仿宋"/>
          <w:sz w:val="32"/>
        </w:rPr>
      </w:pPr>
    </w:p>
    <w:p>
      <w:pPr>
        <w:ind w:firstLine="640"/>
        <w:jc w:val="left"/>
        <w:rPr>
          <w:rFonts w:ascii="仿宋" w:hAnsi="仿宋" w:eastAsia="仿宋" w:cs="仿宋"/>
          <w:sz w:val="32"/>
        </w:rPr>
      </w:pPr>
      <w:r>
        <w:rPr>
          <w:rFonts w:hint="eastAsia" w:ascii="仿宋" w:hAnsi="仿宋" w:eastAsia="仿宋" w:cs="仿宋"/>
          <w:sz w:val="32"/>
        </w:rPr>
        <w:t>一、关于沅江市公路建设养护中心 2019 年度收入支出决算总体情况说明</w:t>
      </w:r>
    </w:p>
    <w:p>
      <w:pPr>
        <w:pStyle w:val="4"/>
        <w:topLinePunct/>
        <w:spacing w:line="360" w:lineRule="auto"/>
        <w:ind w:firstLine="640" w:firstLineChars="200"/>
        <w:jc w:val="both"/>
        <w:rPr>
          <w:rFonts w:hint="default" w:ascii="仿宋" w:hAnsi="仿宋" w:eastAsia="仿宋" w:cs="仿宋"/>
          <w:sz w:val="32"/>
        </w:rPr>
      </w:pPr>
      <w:r>
        <w:rPr>
          <w:rFonts w:ascii="仿宋" w:hAnsi="仿宋" w:eastAsia="仿宋" w:cs="仿宋"/>
          <w:sz w:val="32"/>
        </w:rPr>
        <w:t>沅江市公路建设养护中心2019年度收入总计6800.48万元，</w:t>
      </w:r>
      <w:r>
        <w:rPr>
          <w:rFonts w:hint="eastAsia" w:ascii="仿宋" w:hAnsi="仿宋" w:eastAsia="仿宋" w:cs="仿宋"/>
          <w:sz w:val="32"/>
          <w:lang w:val="en-US" w:eastAsia="zh-CN"/>
        </w:rPr>
        <w:t>(其中包括上年结转1151.21</w:t>
      </w:r>
      <w:bookmarkStart w:id="0" w:name="_GoBack"/>
      <w:bookmarkEnd w:id="0"/>
      <w:r>
        <w:rPr>
          <w:rFonts w:hint="eastAsia" w:ascii="仿宋" w:hAnsi="仿宋" w:eastAsia="仿宋" w:cs="仿宋"/>
          <w:sz w:val="32"/>
          <w:lang w:val="en-US" w:eastAsia="zh-CN"/>
        </w:rPr>
        <w:t>万元)</w:t>
      </w:r>
      <w:r>
        <w:rPr>
          <w:rFonts w:ascii="仿宋" w:hAnsi="仿宋" w:eastAsia="仿宋" w:cs="仿宋"/>
          <w:sz w:val="32"/>
        </w:rPr>
        <w:t>比上年同期减少1744.14万元，减少25.65%；支出总计5543万元，比上年同期减少2082.07万元，减少37.56%。主要原因：是政府重点项目X011线已基本完工。</w:t>
      </w:r>
    </w:p>
    <w:p>
      <w:pPr>
        <w:ind w:firstLine="640"/>
        <w:jc w:val="left"/>
        <w:rPr>
          <w:rFonts w:ascii="仿宋" w:hAnsi="仿宋" w:eastAsia="仿宋" w:cs="仿宋"/>
          <w:sz w:val="32"/>
        </w:rPr>
      </w:pPr>
    </w:p>
    <w:p>
      <w:pPr>
        <w:ind w:firstLine="640"/>
        <w:jc w:val="left"/>
        <w:rPr>
          <w:rFonts w:ascii="仿宋" w:hAnsi="仿宋" w:eastAsia="仿宋" w:cs="仿宋"/>
          <w:sz w:val="32"/>
        </w:rPr>
      </w:pPr>
    </w:p>
    <w:p>
      <w:pPr>
        <w:pStyle w:val="4"/>
        <w:topLinePunct/>
        <w:spacing w:line="360" w:lineRule="auto"/>
        <w:ind w:firstLine="640" w:firstLineChars="200"/>
        <w:jc w:val="both"/>
        <w:rPr>
          <w:rFonts w:ascii="仿宋" w:hAnsi="仿宋" w:eastAsia="仿宋" w:cs="仿宋"/>
          <w:sz w:val="32"/>
        </w:rPr>
      </w:pPr>
      <w:r>
        <w:rPr>
          <w:rFonts w:ascii="仿宋" w:hAnsi="仿宋" w:eastAsia="仿宋" w:cs="仿宋"/>
          <w:sz w:val="32"/>
        </w:rPr>
        <w:t>二、关于沅江市公路建设养护中心2019年度收入决算情况说明</w:t>
      </w:r>
    </w:p>
    <w:p>
      <w:pPr>
        <w:pStyle w:val="4"/>
        <w:topLinePunct/>
        <w:spacing w:line="360" w:lineRule="auto"/>
        <w:ind w:firstLine="640" w:firstLineChars="200"/>
        <w:jc w:val="both"/>
        <w:rPr>
          <w:rFonts w:ascii="仿宋" w:hAnsi="仿宋" w:eastAsia="仿宋" w:cs="仿宋"/>
          <w:sz w:val="32"/>
        </w:rPr>
      </w:pPr>
      <w:r>
        <w:rPr>
          <w:rFonts w:ascii="仿宋" w:hAnsi="仿宋" w:eastAsia="仿宋" w:cs="仿宋"/>
          <w:sz w:val="32"/>
        </w:rPr>
        <w:t>2019年度收入合计 5649.27万元，其中：财政拨款收入2940.94万元，占 52.06%；其他收入2708.33万元，占47.94%。</w:t>
      </w:r>
    </w:p>
    <w:p>
      <w:pPr>
        <w:jc w:val="left"/>
        <w:rPr>
          <w:rFonts w:ascii="仿宋" w:hAnsi="仿宋" w:eastAsia="仿宋" w:cs="仿宋"/>
          <w:sz w:val="32"/>
        </w:rPr>
      </w:pPr>
    </w:p>
    <w:p>
      <w:pPr>
        <w:ind w:firstLine="640"/>
        <w:jc w:val="left"/>
        <w:rPr>
          <w:rFonts w:ascii="仿宋" w:hAnsi="仿宋" w:eastAsia="仿宋" w:cs="仿宋"/>
          <w:sz w:val="32"/>
        </w:rPr>
      </w:pPr>
      <w:r>
        <w:rPr>
          <w:rFonts w:hint="eastAsia" w:ascii="仿宋" w:hAnsi="仿宋" w:eastAsia="仿宋" w:cs="仿宋"/>
          <w:sz w:val="32"/>
        </w:rPr>
        <w:t>三、关于沅江市公路建设养护中心2019年度支出决算情况说明</w:t>
      </w:r>
    </w:p>
    <w:p>
      <w:pPr>
        <w:ind w:firstLine="640"/>
        <w:jc w:val="left"/>
        <w:rPr>
          <w:rFonts w:ascii="仿宋" w:hAnsi="仿宋" w:eastAsia="仿宋" w:cs="仿宋"/>
          <w:sz w:val="32"/>
        </w:rPr>
      </w:pPr>
      <w:r>
        <w:rPr>
          <w:rFonts w:hint="eastAsia" w:ascii="仿宋" w:hAnsi="仿宋" w:eastAsia="仿宋" w:cs="仿宋"/>
          <w:sz w:val="32"/>
        </w:rPr>
        <w:t>2019年度支出合计5543万元，其中：基本支出</w:t>
      </w:r>
      <w:r>
        <w:rPr>
          <w:rFonts w:hint="eastAsia" w:ascii="仿宋" w:hAnsi="仿宋" w:eastAsia="仿宋" w:cs="仿宋"/>
          <w:kern w:val="0"/>
          <w:sz w:val="32"/>
        </w:rPr>
        <w:t>881.17</w:t>
      </w:r>
      <w:r>
        <w:rPr>
          <w:rFonts w:hint="eastAsia" w:ascii="仿宋" w:hAnsi="仿宋" w:eastAsia="仿宋" w:cs="仿宋"/>
          <w:sz w:val="32"/>
        </w:rPr>
        <w:t>万元，占 15.9%；项目支出4661.83万元，占84.1%。</w:t>
      </w:r>
    </w:p>
    <w:p>
      <w:pPr>
        <w:ind w:firstLine="640"/>
        <w:jc w:val="left"/>
        <w:rPr>
          <w:rFonts w:ascii="仿宋" w:hAnsi="仿宋" w:eastAsia="仿宋" w:cs="仿宋"/>
          <w:sz w:val="32"/>
        </w:rPr>
      </w:pPr>
    </w:p>
    <w:p>
      <w:pPr>
        <w:ind w:firstLine="640"/>
        <w:jc w:val="left"/>
        <w:rPr>
          <w:rFonts w:ascii="仿宋" w:hAnsi="仿宋" w:eastAsia="仿宋" w:cs="仿宋"/>
          <w:sz w:val="32"/>
        </w:rPr>
      </w:pPr>
      <w:r>
        <w:rPr>
          <w:rFonts w:hint="eastAsia" w:ascii="仿宋" w:hAnsi="仿宋" w:eastAsia="仿宋" w:cs="仿宋"/>
          <w:sz w:val="32"/>
        </w:rPr>
        <w:t xml:space="preserve"> 四、关于沅江市公路建设养护中心2019 年度财政拨款收入支出决算总体情况说明</w:t>
      </w:r>
    </w:p>
    <w:p>
      <w:pPr>
        <w:ind w:firstLine="640"/>
        <w:jc w:val="left"/>
        <w:rPr>
          <w:rFonts w:ascii="仿宋" w:hAnsi="仿宋" w:eastAsia="仿宋" w:cs="仿宋"/>
          <w:sz w:val="32"/>
        </w:rPr>
      </w:pPr>
      <w:r>
        <w:rPr>
          <w:rFonts w:hint="eastAsia" w:ascii="仿宋" w:hAnsi="仿宋" w:eastAsia="仿宋" w:cs="仿宋"/>
          <w:sz w:val="32"/>
        </w:rPr>
        <w:t xml:space="preserve"> 2019 年度财政拨款收入总计2940.94万元，比上年同期增加453.02万元，增长15.4%；财政拨款支出总计2985.87万元，比上年同期减少1721.34万元，下降57.65%。主要原因：是X011线主体工程已基本完工，减少了专项资金的投入。</w:t>
      </w:r>
    </w:p>
    <w:p>
      <w:pPr>
        <w:jc w:val="left"/>
        <w:rPr>
          <w:rFonts w:ascii="仿宋" w:hAnsi="仿宋" w:eastAsia="仿宋" w:cs="仿宋"/>
          <w:sz w:val="32"/>
        </w:rPr>
      </w:pPr>
    </w:p>
    <w:p>
      <w:pPr>
        <w:ind w:firstLine="640"/>
        <w:jc w:val="left"/>
        <w:rPr>
          <w:rFonts w:ascii="仿宋" w:hAnsi="仿宋" w:eastAsia="仿宋" w:cs="仿宋"/>
          <w:sz w:val="32"/>
        </w:rPr>
      </w:pPr>
      <w:r>
        <w:rPr>
          <w:rFonts w:hint="eastAsia" w:ascii="仿宋" w:hAnsi="仿宋" w:eastAsia="仿宋" w:cs="仿宋"/>
          <w:sz w:val="32"/>
        </w:rPr>
        <w:t>五、关于沅江市公路建设养护中心2019 年度一般公共预算财政拨款收入支出决算情况说明</w:t>
      </w:r>
    </w:p>
    <w:p>
      <w:pPr>
        <w:ind w:firstLine="320"/>
        <w:jc w:val="left"/>
        <w:rPr>
          <w:rFonts w:ascii="仿宋" w:hAnsi="仿宋" w:eastAsia="仿宋" w:cs="仿宋"/>
          <w:sz w:val="32"/>
        </w:rPr>
      </w:pPr>
      <w:r>
        <w:rPr>
          <w:rFonts w:hint="eastAsia" w:ascii="仿宋" w:hAnsi="仿宋" w:eastAsia="仿宋" w:cs="仿宋"/>
          <w:sz w:val="32"/>
        </w:rPr>
        <w:t>（一）一般公共预算财政拨款收入支出决算总体情况。</w:t>
      </w:r>
    </w:p>
    <w:p>
      <w:pPr>
        <w:ind w:firstLine="640"/>
        <w:jc w:val="left"/>
        <w:rPr>
          <w:rFonts w:ascii="仿宋" w:hAnsi="仿宋" w:eastAsia="仿宋" w:cs="仿宋"/>
          <w:sz w:val="32"/>
        </w:rPr>
      </w:pPr>
      <w:r>
        <w:rPr>
          <w:rFonts w:hint="eastAsia" w:ascii="仿宋" w:hAnsi="仿宋" w:eastAsia="仿宋" w:cs="仿宋"/>
          <w:sz w:val="32"/>
        </w:rPr>
        <w:t>2019 年度一般公共预算财政拨款收入总计2940.94万元，比上年同期增加453.02万元，增长15.4%；财政拨款支出总计2985.87万元，比上年同期减少1721.34万元，下降57.65%。主要原因：是X011线主体工程已基本完工，减少了专项资金的投入。</w:t>
      </w:r>
    </w:p>
    <w:p>
      <w:pPr>
        <w:ind w:firstLine="640"/>
        <w:jc w:val="left"/>
        <w:rPr>
          <w:rFonts w:ascii="仿宋" w:hAnsi="仿宋" w:eastAsia="仿宋" w:cs="仿宋"/>
          <w:sz w:val="32"/>
        </w:rPr>
      </w:pPr>
    </w:p>
    <w:p>
      <w:pPr>
        <w:ind w:firstLine="320"/>
        <w:jc w:val="left"/>
        <w:rPr>
          <w:rFonts w:ascii="仿宋" w:hAnsi="仿宋" w:eastAsia="仿宋" w:cs="仿宋"/>
          <w:sz w:val="32"/>
        </w:rPr>
      </w:pPr>
      <w:r>
        <w:rPr>
          <w:rFonts w:hint="eastAsia" w:ascii="仿宋" w:hAnsi="仿宋" w:eastAsia="仿宋" w:cs="仿宋"/>
          <w:sz w:val="32"/>
        </w:rPr>
        <w:t>（二）一般公共预算财政拨款支出决算构成情况。</w:t>
      </w:r>
    </w:p>
    <w:p>
      <w:pPr>
        <w:pStyle w:val="4"/>
        <w:topLinePunct/>
        <w:spacing w:line="360" w:lineRule="auto"/>
        <w:ind w:firstLine="640" w:firstLineChars="200"/>
        <w:jc w:val="both"/>
        <w:rPr>
          <w:rFonts w:hint="default" w:ascii="仿宋" w:hAnsi="仿宋" w:eastAsia="仿宋" w:cs="仿宋"/>
          <w:sz w:val="32"/>
        </w:rPr>
      </w:pPr>
      <w:r>
        <w:rPr>
          <w:rFonts w:ascii="仿宋" w:hAnsi="仿宋" w:eastAsia="仿宋" w:cs="仿宋"/>
          <w:sz w:val="32"/>
        </w:rPr>
        <w:t xml:space="preserve">   一般公共预算拨款支出2940.94万元，</w:t>
      </w:r>
      <w:r>
        <w:rPr>
          <w:rFonts w:ascii="仿宋" w:hAnsi="仿宋" w:eastAsia="仿宋" w:cs="仿宋"/>
          <w:sz w:val="32"/>
          <w:lang w:val="zh-CN"/>
        </w:rPr>
        <w:t>主要用于以下方面：</w:t>
      </w:r>
      <w:r>
        <w:rPr>
          <w:rFonts w:ascii="仿宋" w:hAnsi="仿宋" w:eastAsia="仿宋" w:cs="仿宋"/>
          <w:sz w:val="32"/>
        </w:rPr>
        <w:t xml:space="preserve">交通运输支出4682.09万元，占99.47%。住房保障支出25.13万元，占0.53%。            </w:t>
      </w:r>
    </w:p>
    <w:p>
      <w:pPr>
        <w:ind w:firstLine="320"/>
        <w:jc w:val="left"/>
        <w:rPr>
          <w:rFonts w:ascii="仿宋" w:hAnsi="仿宋" w:eastAsia="仿宋" w:cs="仿宋"/>
          <w:sz w:val="32"/>
        </w:rPr>
      </w:pPr>
      <w:r>
        <w:rPr>
          <w:rFonts w:hint="eastAsia" w:ascii="仿宋" w:hAnsi="仿宋" w:eastAsia="仿宋" w:cs="仿宋"/>
          <w:sz w:val="32"/>
        </w:rPr>
        <w:t>（三）一般公共预算财政拨款支出决算具体情况。</w:t>
      </w:r>
    </w:p>
    <w:p>
      <w:pPr>
        <w:topLinePunct/>
        <w:spacing w:line="360" w:lineRule="auto"/>
        <w:ind w:firstLine="640" w:firstLineChars="200"/>
        <w:rPr>
          <w:rFonts w:ascii="仿宋" w:hAnsi="仿宋" w:eastAsia="仿宋" w:cs="仿宋"/>
          <w:sz w:val="32"/>
          <w:lang w:val="zh-CN"/>
        </w:rPr>
      </w:pPr>
      <w:r>
        <w:rPr>
          <w:rFonts w:hint="eastAsia" w:ascii="仿宋" w:hAnsi="仿宋" w:eastAsia="仿宋" w:cs="仿宋"/>
          <w:sz w:val="32"/>
        </w:rPr>
        <w:t>1.按经济分类：基本支出财政拨款支出 881.17万元，主要用于</w:t>
      </w:r>
      <w:r>
        <w:rPr>
          <w:rFonts w:hint="eastAsia" w:ascii="仿宋" w:hAnsi="仿宋" w:eastAsia="仿宋" w:cs="仿宋"/>
          <w:kern w:val="0"/>
          <w:sz w:val="32"/>
        </w:rPr>
        <w:t>按国家规定支出的基本工资、津贴补贴、其他社会保障缴费、伙食补助费、机关事业单位基本养老保险缴费、其他工资福利支出、离休费、退休费、抚恤金、生活补助、医疗费、住房公积金、提租补贴、购房补贴、采暖补贴、物业服务补贴；其他对个人和家庭的补助支出9.64万元；公用经费56.85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其他资本性支出。</w:t>
      </w:r>
    </w:p>
    <w:p>
      <w:pPr>
        <w:ind w:firstLine="640"/>
        <w:jc w:val="left"/>
        <w:rPr>
          <w:rFonts w:ascii="仿宋" w:hAnsi="仿宋" w:eastAsia="仿宋" w:cs="仿宋"/>
          <w:sz w:val="32"/>
        </w:rPr>
      </w:pPr>
    </w:p>
    <w:p>
      <w:pPr>
        <w:ind w:firstLine="640"/>
        <w:jc w:val="left"/>
        <w:rPr>
          <w:rFonts w:ascii="仿宋" w:hAnsi="仿宋" w:eastAsia="仿宋" w:cs="仿宋"/>
          <w:sz w:val="32"/>
        </w:rPr>
      </w:pPr>
      <w:r>
        <w:rPr>
          <w:rFonts w:hint="eastAsia" w:ascii="仿宋" w:hAnsi="仿宋" w:eastAsia="仿宋" w:cs="仿宋"/>
          <w:sz w:val="32"/>
        </w:rPr>
        <w:t>2. 按经济分类：项目支出财政拨款支出 2104.7万元，主要用于农村公路养护、公路路政治超工作经费、渡口支出。</w:t>
      </w:r>
    </w:p>
    <w:p>
      <w:pPr>
        <w:jc w:val="left"/>
        <w:rPr>
          <w:rFonts w:ascii="仿宋" w:hAnsi="仿宋" w:eastAsia="仿宋" w:cs="仿宋"/>
          <w:b/>
          <w:sz w:val="32"/>
        </w:rPr>
      </w:pPr>
    </w:p>
    <w:p>
      <w:pPr>
        <w:ind w:firstLine="640"/>
        <w:jc w:val="left"/>
        <w:rPr>
          <w:rFonts w:ascii="仿宋" w:hAnsi="仿宋" w:eastAsia="仿宋" w:cs="仿宋"/>
          <w:sz w:val="32"/>
        </w:rPr>
      </w:pPr>
      <w:r>
        <w:rPr>
          <w:rFonts w:hint="eastAsia" w:ascii="仿宋" w:hAnsi="仿宋" w:eastAsia="仿宋" w:cs="仿宋"/>
          <w:sz w:val="32"/>
        </w:rPr>
        <w:t>六、关于沅江市公路建设养护中心2019年度一般公共预算财政拨款基本支出决算情况说明</w:t>
      </w:r>
    </w:p>
    <w:p>
      <w:pPr>
        <w:topLinePunct/>
        <w:spacing w:line="360" w:lineRule="auto"/>
        <w:ind w:firstLine="640" w:firstLineChars="200"/>
        <w:rPr>
          <w:rFonts w:ascii="仿宋" w:hAnsi="仿宋" w:eastAsia="仿宋" w:cs="仿宋"/>
          <w:sz w:val="32"/>
          <w:lang w:val="zh-CN"/>
        </w:rPr>
      </w:pPr>
      <w:r>
        <w:rPr>
          <w:rFonts w:hint="eastAsia" w:ascii="仿宋" w:hAnsi="仿宋" w:eastAsia="仿宋" w:cs="仿宋"/>
          <w:sz w:val="32"/>
          <w:lang w:val="zh-CN"/>
        </w:rPr>
        <w:t>沅江公路管理局201</w:t>
      </w:r>
      <w:r>
        <w:rPr>
          <w:rFonts w:hint="eastAsia" w:ascii="仿宋" w:hAnsi="仿宋" w:eastAsia="仿宋" w:cs="仿宋"/>
          <w:sz w:val="32"/>
        </w:rPr>
        <w:t>9</w:t>
      </w:r>
      <w:r>
        <w:rPr>
          <w:rFonts w:hint="eastAsia" w:ascii="仿宋" w:hAnsi="仿宋" w:eastAsia="仿宋" w:cs="仿宋"/>
          <w:sz w:val="32"/>
          <w:lang w:val="zh-CN"/>
        </w:rPr>
        <w:t>年度</w:t>
      </w:r>
      <w:r>
        <w:rPr>
          <w:rFonts w:hint="eastAsia" w:ascii="仿宋" w:hAnsi="仿宋" w:eastAsia="仿宋" w:cs="仿宋"/>
          <w:kern w:val="0"/>
          <w:sz w:val="32"/>
        </w:rPr>
        <w:t>一般公共预算财政拨款基本支出881.17万元。其中:人员经费790.86万元，主要包括：按国家规定支出的基本工资、津贴补贴、其他社会保障缴费、伙食补助费、机关事业单位基本养老保险缴费、其他工资福利支出、离休费、退休费、抚恤金、生活补助、医疗费、住房公积金、提租补贴、购房补贴、采暖补贴、物业服务补贴、其他对个人和家庭的补助支出；公用经费90.31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其他资本性支出。</w:t>
      </w:r>
    </w:p>
    <w:p>
      <w:pPr>
        <w:ind w:firstLine="640"/>
        <w:jc w:val="left"/>
        <w:rPr>
          <w:rFonts w:ascii="仿宋" w:hAnsi="仿宋" w:eastAsia="仿宋" w:cs="仿宋"/>
          <w:sz w:val="32"/>
        </w:rPr>
      </w:pPr>
      <w:r>
        <w:rPr>
          <w:rFonts w:hint="eastAsia" w:ascii="仿宋" w:hAnsi="仿宋" w:eastAsia="仿宋" w:cs="仿宋"/>
          <w:sz w:val="32"/>
        </w:rPr>
        <w:t>七、关于沅江市公路建设养护中心2019年度政府性基金预算财政拨款支出决算情况说明</w:t>
      </w:r>
    </w:p>
    <w:p>
      <w:pPr>
        <w:ind w:firstLine="640"/>
        <w:jc w:val="left"/>
        <w:rPr>
          <w:rFonts w:ascii="仿宋" w:hAnsi="仿宋" w:eastAsia="仿宋" w:cs="仿宋"/>
          <w:sz w:val="32"/>
        </w:rPr>
      </w:pPr>
      <w:r>
        <w:rPr>
          <w:rFonts w:hint="eastAsia" w:ascii="仿宋" w:hAnsi="仿宋" w:eastAsia="仿宋" w:cs="仿宋"/>
          <w:sz w:val="32"/>
        </w:rPr>
        <w:t>（一）政府性基金预算财政拨款收入支出决算总体情况。</w:t>
      </w:r>
    </w:p>
    <w:p>
      <w:pPr>
        <w:ind w:firstLine="640"/>
        <w:jc w:val="left"/>
        <w:rPr>
          <w:rFonts w:ascii="仿宋" w:hAnsi="仿宋" w:eastAsia="仿宋" w:cs="仿宋"/>
          <w:sz w:val="32"/>
        </w:rPr>
      </w:pPr>
      <w:r>
        <w:rPr>
          <w:rFonts w:hint="eastAsia" w:ascii="仿宋" w:hAnsi="仿宋" w:eastAsia="仿宋" w:cs="仿宋"/>
          <w:sz w:val="32"/>
        </w:rPr>
        <w:t>2019 年度政府性基金预算财政拨款收入总计0万元，比上年同期增加0万元，增长0%；政府性基金预算财政拨款支出总计0万元，比上年同期增加0万元，增长0%。</w:t>
      </w:r>
    </w:p>
    <w:p>
      <w:pPr>
        <w:ind w:firstLine="640"/>
        <w:jc w:val="left"/>
        <w:rPr>
          <w:rFonts w:ascii="仿宋" w:hAnsi="仿宋" w:eastAsia="仿宋" w:cs="仿宋"/>
          <w:sz w:val="32"/>
        </w:rPr>
      </w:pPr>
      <w:r>
        <w:rPr>
          <w:rFonts w:hint="eastAsia" w:ascii="仿宋" w:hAnsi="仿宋" w:eastAsia="仿宋" w:cs="仿宋"/>
          <w:sz w:val="32"/>
        </w:rPr>
        <w:t>八、关于沅江市公路建设养护中心2019年度一般公共预算财政拨款“三公”经费支出决算情况说明</w:t>
      </w:r>
    </w:p>
    <w:p>
      <w:pPr>
        <w:ind w:firstLine="640"/>
        <w:jc w:val="left"/>
        <w:rPr>
          <w:rFonts w:ascii="仿宋" w:hAnsi="仿宋" w:eastAsia="仿宋" w:cs="仿宋"/>
          <w:sz w:val="32"/>
        </w:rPr>
      </w:pPr>
      <w:r>
        <w:rPr>
          <w:rFonts w:hint="eastAsia" w:ascii="仿宋" w:hAnsi="仿宋" w:eastAsia="仿宋" w:cs="仿宋"/>
          <w:sz w:val="32"/>
        </w:rPr>
        <w:t>（一）“三公”经费财政拨款支出决算总体情况说明。</w:t>
      </w:r>
    </w:p>
    <w:p>
      <w:pPr>
        <w:ind w:firstLine="640"/>
        <w:jc w:val="left"/>
        <w:rPr>
          <w:rFonts w:ascii="仿宋" w:hAnsi="仿宋" w:eastAsia="仿宋" w:cs="仿宋"/>
          <w:sz w:val="32"/>
        </w:rPr>
      </w:pPr>
      <w:r>
        <w:rPr>
          <w:rFonts w:hint="eastAsia" w:ascii="仿宋" w:hAnsi="仿宋" w:eastAsia="仿宋" w:cs="仿宋"/>
          <w:sz w:val="32"/>
        </w:rPr>
        <w:t>2019年度“三公”经费财政拨款支出预算为8万元，支出决算为9.62万元，完成预算的120.25%，其中：因公出国（境）费支出决算为 0万元，完成预算的0%；公务用车购置及运行费支出决算为6.67万元，完成预算的133.4%；公务接待费支出决算为 2.62万元，完成预算的87.3%。2019 年度“三公”经费支出决算数大于预算数的主要原因：由于机构改革，各县市公路部门参观、学习增加了，公务接待开支增加。</w:t>
      </w:r>
    </w:p>
    <w:p>
      <w:pPr>
        <w:ind w:firstLine="640"/>
        <w:jc w:val="left"/>
        <w:rPr>
          <w:rFonts w:ascii="仿宋" w:hAnsi="仿宋" w:eastAsia="仿宋" w:cs="仿宋"/>
          <w:sz w:val="32"/>
        </w:rPr>
      </w:pPr>
      <w:r>
        <w:rPr>
          <w:rFonts w:hint="eastAsia" w:ascii="仿宋" w:hAnsi="仿宋" w:eastAsia="仿宋" w:cs="仿宋"/>
          <w:sz w:val="32"/>
        </w:rPr>
        <w:t>（二）“三公”经费财政拨款支出决算具体情况说明。</w:t>
      </w:r>
    </w:p>
    <w:p>
      <w:pPr>
        <w:ind w:firstLine="640"/>
        <w:jc w:val="left"/>
        <w:rPr>
          <w:rFonts w:ascii="仿宋" w:hAnsi="仿宋" w:eastAsia="仿宋" w:cs="仿宋"/>
          <w:sz w:val="32"/>
        </w:rPr>
      </w:pPr>
      <w:r>
        <w:rPr>
          <w:rFonts w:hint="eastAsia" w:ascii="仿宋" w:hAnsi="仿宋" w:eastAsia="仿宋" w:cs="仿宋"/>
          <w:sz w:val="32"/>
        </w:rPr>
        <w:t xml:space="preserve"> 2019 年度“三公”经费财政拨款支出决算为9.62万元，其中：因公出国（境）费支出决算为 0万元，占0%；公务用车购置及运行费支出决算为6.67万元，占69.33%；公务接待费支出决算为 2.62万元，占30.67%。2019 年度“三公”经费支出决算数大于上年决算数的主要因：由于机构改革，各县市公路部门参观、学习增加了，公务接待开支增加。</w:t>
      </w:r>
    </w:p>
    <w:p>
      <w:pPr>
        <w:ind w:firstLine="640"/>
        <w:jc w:val="left"/>
        <w:rPr>
          <w:rFonts w:ascii="仿宋" w:hAnsi="仿宋" w:eastAsia="仿宋" w:cs="仿宋"/>
          <w:sz w:val="32"/>
        </w:rPr>
      </w:pPr>
      <w:r>
        <w:rPr>
          <w:rFonts w:hint="eastAsia" w:ascii="仿宋" w:hAnsi="仿宋" w:eastAsia="仿宋" w:cs="仿宋"/>
          <w:sz w:val="32"/>
        </w:rPr>
        <w:t>1、因公出国（境）情况说明</w:t>
      </w:r>
    </w:p>
    <w:p>
      <w:pPr>
        <w:ind w:firstLine="640"/>
        <w:jc w:val="left"/>
        <w:rPr>
          <w:rFonts w:ascii="仿宋" w:hAnsi="仿宋" w:eastAsia="仿宋" w:cs="仿宋"/>
          <w:sz w:val="32"/>
        </w:rPr>
      </w:pPr>
      <w:r>
        <w:rPr>
          <w:rFonts w:hint="eastAsia" w:ascii="仿宋" w:hAnsi="仿宋" w:eastAsia="仿宋" w:cs="仿宋"/>
          <w:sz w:val="32"/>
        </w:rPr>
        <w:t>因公出国（境）团组数0个，0人，本单位无因公出国（境）的开支。</w:t>
      </w:r>
    </w:p>
    <w:p>
      <w:pPr>
        <w:ind w:firstLine="640"/>
        <w:jc w:val="left"/>
        <w:rPr>
          <w:rFonts w:ascii="仿宋" w:hAnsi="仿宋" w:eastAsia="仿宋" w:cs="仿宋"/>
          <w:sz w:val="32"/>
        </w:rPr>
      </w:pPr>
      <w:r>
        <w:rPr>
          <w:rFonts w:hint="eastAsia" w:ascii="仿宋" w:hAnsi="仿宋" w:eastAsia="仿宋" w:cs="仿宋"/>
          <w:sz w:val="32"/>
        </w:rPr>
        <w:t>2、公务用车购置及运行经费情况说明</w:t>
      </w:r>
    </w:p>
    <w:p>
      <w:pPr>
        <w:ind w:firstLine="640"/>
        <w:jc w:val="left"/>
        <w:rPr>
          <w:rFonts w:ascii="仿宋" w:hAnsi="仿宋" w:eastAsia="仿宋" w:cs="仿宋"/>
          <w:sz w:val="32"/>
        </w:rPr>
      </w:pPr>
      <w:r>
        <w:rPr>
          <w:rFonts w:hint="eastAsia" w:ascii="仿宋" w:hAnsi="仿宋" w:eastAsia="仿宋" w:cs="仿宋"/>
          <w:sz w:val="32"/>
        </w:rPr>
        <w:t>公务用车购置支出：0万元，购置数0台，保有量1台</w:t>
      </w:r>
    </w:p>
    <w:p>
      <w:pPr>
        <w:ind w:firstLine="640"/>
        <w:jc w:val="left"/>
        <w:rPr>
          <w:rFonts w:ascii="仿宋" w:hAnsi="仿宋" w:eastAsia="仿宋" w:cs="仿宋"/>
          <w:sz w:val="32"/>
        </w:rPr>
      </w:pPr>
      <w:r>
        <w:rPr>
          <w:rFonts w:hint="eastAsia" w:ascii="仿宋" w:hAnsi="仿宋" w:eastAsia="仿宋" w:cs="仿宋"/>
          <w:sz w:val="32"/>
        </w:rPr>
        <w:t>运行经费支出：6.67万元，主要用于公务车辆维修费。</w:t>
      </w:r>
    </w:p>
    <w:p>
      <w:pPr>
        <w:ind w:firstLine="640"/>
        <w:jc w:val="left"/>
        <w:rPr>
          <w:rFonts w:ascii="仿宋" w:hAnsi="仿宋" w:eastAsia="仿宋" w:cs="仿宋"/>
          <w:sz w:val="32"/>
        </w:rPr>
      </w:pPr>
      <w:r>
        <w:rPr>
          <w:rFonts w:hint="eastAsia" w:ascii="仿宋" w:hAnsi="仿宋" w:eastAsia="仿宋" w:cs="仿宋"/>
          <w:sz w:val="32"/>
        </w:rPr>
        <w:t>3、公务接待情况说明</w:t>
      </w:r>
    </w:p>
    <w:p>
      <w:pPr>
        <w:ind w:firstLine="640"/>
        <w:jc w:val="left"/>
        <w:rPr>
          <w:rFonts w:ascii="仿宋" w:hAnsi="仿宋" w:eastAsia="仿宋" w:cs="仿宋"/>
          <w:sz w:val="32"/>
        </w:rPr>
      </w:pPr>
      <w:r>
        <w:rPr>
          <w:rFonts w:hint="eastAsia" w:ascii="仿宋" w:hAnsi="仿宋" w:eastAsia="仿宋" w:cs="仿宋"/>
          <w:sz w:val="32"/>
        </w:rPr>
        <w:t>公务接待支出2.62万元，国内公务接待15批次，接待54人。接待支出主要用于各县市公路部门参观学习交流。</w:t>
      </w:r>
    </w:p>
    <w:p>
      <w:pPr>
        <w:ind w:firstLine="640"/>
        <w:jc w:val="left"/>
        <w:rPr>
          <w:rFonts w:ascii="仿宋" w:hAnsi="仿宋" w:eastAsia="仿宋" w:cs="仿宋"/>
          <w:sz w:val="32"/>
        </w:rPr>
      </w:pPr>
    </w:p>
    <w:p>
      <w:pPr>
        <w:ind w:firstLine="640"/>
        <w:jc w:val="left"/>
        <w:rPr>
          <w:rFonts w:ascii="仿宋" w:hAnsi="仿宋" w:eastAsia="仿宋" w:cs="仿宋"/>
          <w:sz w:val="32"/>
        </w:rPr>
      </w:pPr>
      <w:r>
        <w:rPr>
          <w:rFonts w:hint="eastAsia" w:ascii="仿宋" w:hAnsi="仿宋" w:eastAsia="仿宋" w:cs="仿宋"/>
          <w:sz w:val="32"/>
        </w:rPr>
        <w:t>九、关于 2019 年度预算绩效情况说明</w:t>
      </w:r>
    </w:p>
    <w:p>
      <w:pPr>
        <w:ind w:firstLine="640"/>
        <w:jc w:val="left"/>
        <w:rPr>
          <w:rFonts w:ascii="仿宋" w:hAnsi="仿宋" w:eastAsia="仿宋" w:cs="仿宋"/>
          <w:sz w:val="32"/>
        </w:rPr>
      </w:pPr>
      <w:r>
        <w:rPr>
          <w:rFonts w:hint="eastAsia" w:ascii="仿宋" w:hAnsi="仿宋" w:eastAsia="仿宋" w:cs="仿宋"/>
          <w:sz w:val="32"/>
        </w:rPr>
        <w:t>（一）绩效管理工作开展情况 。</w:t>
      </w:r>
    </w:p>
    <w:p>
      <w:pPr>
        <w:widowControl/>
        <w:shd w:val="clear" w:color="auto" w:fill="FFFFFF"/>
        <w:spacing w:line="600" w:lineRule="atLeast"/>
        <w:ind w:firstLine="640"/>
        <w:jc w:val="left"/>
        <w:rPr>
          <w:rFonts w:ascii="仿宋" w:hAnsi="仿宋" w:eastAsia="仿宋" w:cs="仿宋"/>
          <w:color w:val="333333"/>
          <w:kern w:val="0"/>
          <w:sz w:val="32"/>
          <w:szCs w:val="32"/>
        </w:rPr>
      </w:pPr>
      <w:r>
        <w:rPr>
          <w:rFonts w:hint="eastAsia" w:ascii="仿宋" w:hAnsi="仿宋" w:eastAsia="仿宋" w:cs="仿宋"/>
          <w:color w:val="000000"/>
          <w:kern w:val="0"/>
          <w:sz w:val="32"/>
          <w:szCs w:val="32"/>
        </w:rPr>
        <w:t>总的来说，我单位财务管理较为严格，建立了《机关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组会议集体讨论决定。</w:t>
      </w:r>
    </w:p>
    <w:p>
      <w:pPr>
        <w:widowControl/>
        <w:shd w:val="clear" w:color="auto" w:fill="FFFFFF"/>
        <w:spacing w:line="600" w:lineRule="atLeast"/>
        <w:ind w:firstLine="64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根据市财政局</w:t>
      </w:r>
      <w:r>
        <w:rPr>
          <w:rFonts w:hint="eastAsia" w:ascii="仿宋" w:hAnsi="仿宋" w:eastAsia="仿宋" w:cs="仿宋"/>
          <w:color w:val="000000"/>
          <w:kern w:val="0"/>
          <w:sz w:val="32"/>
          <w:szCs w:val="32"/>
        </w:rPr>
        <w:t>要求，我单位以绩效评估为契机，认真对照评估指标，按照年度工作计划扎实推进2019年度财政支出绩效自评工作。总的来说，2019年我单位全体干部职工积极履职、扎实工作，较好完成了全年工作目标。</w:t>
      </w:r>
    </w:p>
    <w:p>
      <w:pPr>
        <w:ind w:firstLine="640"/>
        <w:jc w:val="left"/>
        <w:rPr>
          <w:rFonts w:ascii="仿宋" w:hAnsi="仿宋" w:eastAsia="仿宋" w:cs="仿宋"/>
          <w:sz w:val="32"/>
        </w:rPr>
      </w:pPr>
      <w:r>
        <w:rPr>
          <w:rFonts w:hint="eastAsia" w:ascii="仿宋" w:hAnsi="仿宋" w:eastAsia="仿宋" w:cs="仿宋"/>
          <w:sz w:val="32"/>
        </w:rPr>
        <w:t>（二）部门决算中项目绩效自评结果 。</w:t>
      </w:r>
    </w:p>
    <w:p>
      <w:pPr>
        <w:widowControl/>
        <w:shd w:val="clear" w:color="auto" w:fill="FFFFFF"/>
        <w:spacing w:line="600" w:lineRule="atLeast"/>
        <w:ind w:firstLine="640"/>
        <w:jc w:val="left"/>
        <w:rPr>
          <w:rFonts w:ascii="仿宋" w:hAnsi="仿宋" w:eastAsia="仿宋" w:cs="仿宋"/>
          <w:b/>
          <w:color w:val="000000"/>
          <w:kern w:val="0"/>
          <w:sz w:val="32"/>
          <w:szCs w:val="32"/>
        </w:rPr>
      </w:pPr>
      <w:r>
        <w:rPr>
          <w:rFonts w:hint="eastAsia" w:ascii="仿宋" w:hAnsi="仿宋" w:eastAsia="仿宋" w:cs="仿宋"/>
          <w:color w:val="000000"/>
          <w:kern w:val="0"/>
          <w:sz w:val="32"/>
          <w:szCs w:val="32"/>
        </w:rPr>
        <w:t>总的来说，2019年我单位干部职工积极履职、扎实工作，较好完成了全年工作目标。</w:t>
      </w:r>
      <w:r>
        <w:rPr>
          <w:rFonts w:hint="eastAsia" w:ascii="仿宋" w:hAnsi="仿宋" w:eastAsia="仿宋" w:cs="仿宋"/>
          <w:bCs/>
          <w:sz w:val="32"/>
          <w:szCs w:val="32"/>
        </w:rPr>
        <w:t>依法行政，规范路政、治超执法管理。一是严执法。</w:t>
      </w:r>
      <w:r>
        <w:rPr>
          <w:rFonts w:hint="eastAsia" w:ascii="仿宋" w:hAnsi="仿宋" w:eastAsia="仿宋" w:cs="仿宋"/>
          <w:bCs/>
          <w:color w:val="000000"/>
          <w:kern w:val="0"/>
          <w:sz w:val="32"/>
          <w:szCs w:val="32"/>
        </w:rPr>
        <w:t>今年来，路政执法大队超限站在公路辖区内检测车辆98631台，查处超限运输案件230起；以 S204线益沅一级公路和S204线赤山路段（白沙大桥至茅草街大桥）为重点，辐射我辖区公路全境，组织全队路政队员进行大小整治和联合执法行动4次，清理路旁摊点、棚亭、预石板、沙石、红砖、晒谷等路障235处，消除安全隐患83处，办结非公路性标牌许可2起、非标延续许可2起，损路事故13起，埋设管线2起，违建房屋1起。二是抓宣传。组织治超站长参加了省局举办的培训班，组织全体执法人员参加了法制办的学习培训和换新证工作，进行大型《公路法》、《公路安全保护条例》宣传活动6次，发放张贴《公路法》、《公路安全保护条例》宣传单150多份，重点做好了春节、五一、端午、中秋国庆期间公路保畅工作。三是强设备。目前已完成科技治超设备建设，已投入使用。</w:t>
      </w:r>
    </w:p>
    <w:p>
      <w:pPr>
        <w:ind w:firstLine="640"/>
        <w:jc w:val="left"/>
        <w:rPr>
          <w:rFonts w:ascii="仿宋" w:hAnsi="仿宋" w:eastAsia="仿宋" w:cs="仿宋"/>
          <w:sz w:val="32"/>
        </w:rPr>
      </w:pPr>
      <w:r>
        <w:rPr>
          <w:rFonts w:hint="eastAsia" w:ascii="仿宋" w:hAnsi="仿宋" w:eastAsia="仿宋" w:cs="仿宋"/>
          <w:sz w:val="32"/>
        </w:rPr>
        <w:t>（三）以部门为主体开展的重点绩效评价 结果</w:t>
      </w:r>
    </w:p>
    <w:p>
      <w:pPr>
        <w:pStyle w:val="4"/>
        <w:spacing w:before="0" w:beforeAutospacing="0" w:after="0" w:afterAutospacing="0" w:line="600" w:lineRule="exact"/>
        <w:ind w:firstLine="675" w:firstLineChars="211"/>
        <w:rPr>
          <w:rFonts w:hint="default" w:ascii="仿宋" w:hAnsi="仿宋" w:eastAsia="仿宋" w:cs="仿宋"/>
          <w:sz w:val="32"/>
          <w:szCs w:val="32"/>
        </w:rPr>
      </w:pPr>
      <w:r>
        <w:rPr>
          <w:rFonts w:ascii="仿宋" w:hAnsi="仿宋" w:eastAsia="仿宋" w:cs="仿宋"/>
          <w:sz w:val="32"/>
          <w:szCs w:val="32"/>
        </w:rPr>
        <w:t>项目总体执行情况较好，能按照制定的计划完成，预期的绩效目标的也基本实现，无论是取得的经济效益还是社会效益都有显著成果，主要表现在：</w:t>
      </w:r>
    </w:p>
    <w:p>
      <w:pPr>
        <w:pStyle w:val="4"/>
        <w:spacing w:before="0" w:beforeAutospacing="0" w:after="0" w:afterAutospacing="0" w:line="600" w:lineRule="exact"/>
        <w:ind w:firstLine="358" w:firstLineChars="112"/>
        <w:rPr>
          <w:rFonts w:hint="default" w:ascii="仿宋" w:hAnsi="仿宋" w:eastAsia="仿宋" w:cs="仿宋"/>
          <w:sz w:val="32"/>
          <w:szCs w:val="32"/>
        </w:rPr>
      </w:pPr>
      <w:r>
        <w:rPr>
          <w:rFonts w:ascii="仿宋" w:hAnsi="仿宋" w:eastAsia="仿宋" w:cs="仿宋"/>
          <w:sz w:val="32"/>
          <w:szCs w:val="32"/>
        </w:rPr>
        <w:t xml:space="preserve">1.经济效益：通过省投入专项资金522万元、1111.96万元，使我市农村公路安全通行能力进一步增强，路况水平得到进一步提升，消除了安全隐患，解决了出行难的问题。        </w:t>
      </w:r>
    </w:p>
    <w:p>
      <w:pPr>
        <w:pStyle w:val="4"/>
        <w:spacing w:before="0" w:beforeAutospacing="0" w:after="0" w:afterAutospacing="0" w:line="600" w:lineRule="exact"/>
        <w:ind w:firstLine="358" w:firstLineChars="112"/>
        <w:rPr>
          <w:rFonts w:hint="default" w:ascii="仿宋" w:hAnsi="仿宋" w:eastAsia="仿宋" w:cs="仿宋"/>
          <w:sz w:val="32"/>
          <w:szCs w:val="32"/>
        </w:rPr>
      </w:pPr>
      <w:r>
        <w:rPr>
          <w:rFonts w:ascii="仿宋" w:hAnsi="仿宋" w:eastAsia="仿宋" w:cs="仿宋"/>
          <w:sz w:val="32"/>
          <w:szCs w:val="32"/>
        </w:rPr>
        <w:t>2.社会效益：进一步提高了农村公路安全通行能力，提升了路况水平，进一步改善了沿线乡镇居民生产和生活条件；</w:t>
      </w:r>
    </w:p>
    <w:p>
      <w:pPr>
        <w:pStyle w:val="4"/>
        <w:spacing w:before="0" w:beforeAutospacing="0" w:after="0" w:afterAutospacing="0" w:line="600" w:lineRule="exact"/>
        <w:ind w:firstLine="358" w:firstLineChars="112"/>
        <w:rPr>
          <w:rFonts w:hint="default" w:ascii="仿宋" w:hAnsi="仿宋" w:eastAsia="仿宋" w:cs="仿宋"/>
          <w:sz w:val="32"/>
          <w:szCs w:val="32"/>
        </w:rPr>
      </w:pPr>
      <w:r>
        <w:rPr>
          <w:rFonts w:ascii="仿宋" w:hAnsi="仿宋" w:eastAsia="仿宋" w:cs="仿宋"/>
          <w:sz w:val="32"/>
          <w:szCs w:val="32"/>
        </w:rPr>
        <w:t>3.生态效益：本项目为基础建设项目，与生态效益无直接联系。    </w:t>
      </w:r>
    </w:p>
    <w:p>
      <w:pPr>
        <w:ind w:firstLine="640"/>
        <w:jc w:val="left"/>
        <w:rPr>
          <w:rFonts w:ascii="仿宋" w:hAnsi="仿宋" w:eastAsia="仿宋" w:cs="仿宋"/>
          <w:sz w:val="32"/>
        </w:rPr>
      </w:pPr>
      <w:r>
        <w:rPr>
          <w:rFonts w:hint="eastAsia" w:ascii="仿宋" w:hAnsi="仿宋" w:eastAsia="仿宋" w:cs="仿宋"/>
          <w:sz w:val="32"/>
        </w:rPr>
        <w:t>（四）预算绩效情况的说明。</w:t>
      </w:r>
    </w:p>
    <w:p>
      <w:pPr>
        <w:ind w:firstLine="640"/>
        <w:jc w:val="left"/>
        <w:rPr>
          <w:rFonts w:ascii="仿宋" w:hAnsi="仿宋" w:eastAsia="仿宋" w:cs="仿宋"/>
          <w:sz w:val="32"/>
        </w:rPr>
      </w:pPr>
      <w:r>
        <w:rPr>
          <w:rFonts w:hint="eastAsia" w:ascii="仿宋" w:hAnsi="仿宋" w:eastAsia="仿宋" w:cs="仿宋"/>
          <w:sz w:val="32"/>
        </w:rPr>
        <w:t>2019年我单位严格按财政预算要求，</w:t>
      </w:r>
      <w:r>
        <w:rPr>
          <w:rFonts w:hint="eastAsia" w:ascii="仿宋" w:hAnsi="仿宋" w:eastAsia="仿宋" w:cs="仿宋"/>
          <w:color w:val="000000"/>
          <w:kern w:val="0"/>
          <w:sz w:val="32"/>
          <w:szCs w:val="32"/>
        </w:rPr>
        <w:t>严格履行财务审批手续，做到了无计划安排不报账。</w:t>
      </w:r>
    </w:p>
    <w:p>
      <w:pPr>
        <w:ind w:firstLine="640"/>
        <w:jc w:val="left"/>
        <w:rPr>
          <w:rFonts w:ascii="仿宋" w:hAnsi="仿宋" w:eastAsia="仿宋" w:cs="仿宋"/>
          <w:sz w:val="32"/>
        </w:rPr>
      </w:pPr>
      <w:r>
        <w:rPr>
          <w:rFonts w:hint="eastAsia" w:ascii="仿宋" w:hAnsi="仿宋" w:eastAsia="仿宋" w:cs="仿宋"/>
          <w:sz w:val="32"/>
        </w:rPr>
        <w:t>十、其他重要事项的情况说明</w:t>
      </w:r>
    </w:p>
    <w:p>
      <w:pPr>
        <w:ind w:firstLine="640"/>
        <w:jc w:val="left"/>
        <w:rPr>
          <w:rFonts w:ascii="仿宋" w:hAnsi="仿宋" w:eastAsia="仿宋" w:cs="仿宋"/>
          <w:sz w:val="32"/>
        </w:rPr>
      </w:pPr>
      <w:r>
        <w:rPr>
          <w:rFonts w:hint="eastAsia" w:ascii="仿宋" w:hAnsi="仿宋" w:eastAsia="仿宋" w:cs="仿宋"/>
          <w:sz w:val="32"/>
        </w:rPr>
        <w:t>（一）预决算收支增减变化情况。</w:t>
      </w:r>
    </w:p>
    <w:p>
      <w:pPr>
        <w:spacing w:line="360" w:lineRule="auto"/>
        <w:ind w:firstLine="640" w:firstLineChars="200"/>
        <w:rPr>
          <w:rFonts w:ascii="仿宋" w:hAnsi="仿宋" w:eastAsia="仿宋" w:cs="仿宋"/>
          <w:sz w:val="32"/>
        </w:rPr>
      </w:pPr>
      <w:r>
        <w:rPr>
          <w:rFonts w:hint="eastAsia" w:ascii="仿宋" w:hAnsi="仿宋" w:eastAsia="仿宋" w:cs="仿宋"/>
          <w:sz w:val="32"/>
        </w:rPr>
        <w:t>2019年，本部门年初预算收入2,133万元，比上年增减31万元，增长1.49</w:t>
      </w:r>
      <w:r>
        <w:rPr>
          <w:rFonts w:hint="eastAsia" w:ascii="仿宋" w:hAnsi="仿宋" w:eastAsia="仿宋" w:cs="仿宋"/>
          <w:sz w:val="32"/>
          <w:lang w:val="zh-CN"/>
        </w:rPr>
        <w:t>%,增减变化的主要原因是：</w:t>
      </w:r>
      <w:r>
        <w:rPr>
          <w:rFonts w:hint="eastAsia" w:ascii="仿宋" w:hAnsi="仿宋" w:eastAsia="仿宋" w:cs="仿宋"/>
          <w:sz w:val="32"/>
        </w:rPr>
        <w:t>本年收入增加。其中：一般公共预算财政拨款收入年初预算2,133万元，比上年增减1,143万元；政府性基金预算财政拨款收入年初预算50万元，比上年增减-10万元；上级补助收入年初预算1112万元，比上年增减0万元；事业收入年初预算0万元，比上年增减0万元；经营收入年初预算收入0万元，比上年增减0万元；附属单位上缴收入年初预算收入0万元，比上年增减0万元；其他收入年初预算收入0万元，比上年增减0万元。年度执行中因单位人数变动及单位事权调整，预算跟随调整情况，主要变化是：收入调整预算数为5,649万元，</w:t>
      </w:r>
      <w:r>
        <w:rPr>
          <w:rFonts w:hint="eastAsia" w:ascii="仿宋" w:hAnsi="仿宋" w:eastAsia="仿宋" w:cs="仿宋"/>
          <w:sz w:val="32"/>
          <w:lang w:val="zh-CN"/>
        </w:rPr>
        <w:t>政府增加农村公路养护资金的投入。</w:t>
      </w:r>
    </w:p>
    <w:p>
      <w:pPr>
        <w:spacing w:line="360" w:lineRule="auto"/>
        <w:ind w:firstLine="640" w:firstLineChars="200"/>
        <w:rPr>
          <w:rFonts w:ascii="仿宋" w:hAnsi="仿宋" w:eastAsia="仿宋" w:cs="仿宋"/>
          <w:sz w:val="32"/>
        </w:rPr>
      </w:pPr>
      <w:r>
        <w:rPr>
          <w:rFonts w:hint="eastAsia" w:ascii="仿宋" w:hAnsi="仿宋" w:eastAsia="仿宋" w:cs="仿宋"/>
          <w:sz w:val="32"/>
        </w:rPr>
        <w:t>2019年，本部门年初预算支出2,133万元，比上年增减31万元，增长1.49</w:t>
      </w:r>
      <w:r>
        <w:rPr>
          <w:rFonts w:hint="eastAsia" w:ascii="仿宋" w:hAnsi="仿宋" w:eastAsia="仿宋" w:cs="仿宋"/>
          <w:sz w:val="32"/>
          <w:lang w:val="zh-CN"/>
        </w:rPr>
        <w:t>%，增减变化的主要原因是：</w:t>
      </w:r>
      <w:r>
        <w:rPr>
          <w:rFonts w:hint="eastAsia" w:ascii="仿宋" w:hAnsi="仿宋" w:eastAsia="仿宋" w:cs="仿宋"/>
          <w:sz w:val="32"/>
        </w:rPr>
        <w:t>本年支出增加。其中：基本</w:t>
      </w:r>
      <w:r>
        <w:rPr>
          <w:rFonts w:hint="eastAsia" w:ascii="仿宋" w:hAnsi="仿宋" w:eastAsia="仿宋" w:cs="仿宋"/>
          <w:sz w:val="32"/>
          <w:lang w:val="zh-CN"/>
        </w:rPr>
        <w:t>支出</w:t>
      </w:r>
      <w:r>
        <w:rPr>
          <w:rFonts w:hint="eastAsia" w:ascii="仿宋" w:hAnsi="仿宋" w:eastAsia="仿宋" w:cs="仿宋"/>
          <w:sz w:val="32"/>
        </w:rPr>
        <w:t>年初预算861万元，比上年增减66万元，增长7.7%；项目支出年初预算1,272万元，比上年增减-35万元，减少2.8 %。年度执行中因单位人数变动及单位事权调整，预算跟随调整情况，主要变化是：</w:t>
      </w:r>
      <w:r>
        <w:rPr>
          <w:rFonts w:hint="eastAsia" w:ascii="仿宋" w:hAnsi="仿宋" w:eastAsia="仿宋" w:cs="仿宋"/>
          <w:sz w:val="32"/>
          <w:lang w:val="zh-CN"/>
        </w:rPr>
        <w:t>减少了专项支出，因为</w:t>
      </w:r>
      <w:r>
        <w:rPr>
          <w:rFonts w:hint="eastAsia" w:ascii="仿宋" w:hAnsi="仿宋" w:eastAsia="仿宋" w:cs="仿宋"/>
          <w:sz w:val="32"/>
        </w:rPr>
        <w:t>X011线2018年基本完工。</w:t>
      </w:r>
    </w:p>
    <w:p>
      <w:pPr>
        <w:ind w:firstLine="640"/>
        <w:jc w:val="left"/>
        <w:rPr>
          <w:rFonts w:ascii="仿宋" w:hAnsi="仿宋" w:eastAsia="仿宋" w:cs="仿宋"/>
          <w:color w:val="FF0000"/>
          <w:sz w:val="32"/>
        </w:rPr>
      </w:pPr>
      <w:r>
        <w:rPr>
          <w:rFonts w:hint="eastAsia" w:ascii="仿宋" w:hAnsi="仿宋" w:eastAsia="仿宋" w:cs="仿宋"/>
          <w:sz w:val="32"/>
        </w:rPr>
        <w:t>（二）机关运行经费支出情况。</w:t>
      </w:r>
    </w:p>
    <w:p>
      <w:pPr>
        <w:rPr>
          <w:rFonts w:ascii="仿宋" w:hAnsi="仿宋" w:eastAsia="仿宋" w:cs="仿宋"/>
          <w:sz w:val="32"/>
          <w:szCs w:val="32"/>
        </w:rPr>
      </w:pPr>
      <w:r>
        <w:rPr>
          <w:rFonts w:hint="eastAsia" w:ascii="仿宋" w:hAnsi="仿宋" w:eastAsia="仿宋" w:cs="仿宋"/>
          <w:sz w:val="32"/>
          <w:szCs w:val="32"/>
        </w:rPr>
        <w:t>本部门2019年度机关</w:t>
      </w:r>
      <w:r>
        <w:rPr>
          <w:rFonts w:hint="eastAsia" w:ascii="仿宋" w:hAnsi="仿宋" w:eastAsia="仿宋" w:cs="仿宋"/>
          <w:sz w:val="32"/>
        </w:rPr>
        <w:t>运行经费支出90.31万元，较上年增加33.46万元，增加37.05%，主要原因是</w:t>
      </w:r>
      <w:r>
        <w:rPr>
          <w:rFonts w:hint="eastAsia" w:ascii="仿宋" w:hAnsi="仿宋" w:eastAsia="仿宋" w:cs="仿宋"/>
          <w:sz w:val="32"/>
          <w:szCs w:val="32"/>
        </w:rPr>
        <w:t>：财政增加了公用经费。</w:t>
      </w:r>
    </w:p>
    <w:p>
      <w:pPr>
        <w:ind w:firstLine="640"/>
        <w:jc w:val="left"/>
        <w:rPr>
          <w:rFonts w:ascii="仿宋" w:hAnsi="仿宋" w:eastAsia="仿宋" w:cs="仿宋"/>
          <w:color w:val="FF0000"/>
          <w:sz w:val="32"/>
        </w:rPr>
      </w:pPr>
      <w:r>
        <w:rPr>
          <w:rFonts w:hint="eastAsia" w:ascii="仿宋" w:hAnsi="仿宋" w:eastAsia="仿宋" w:cs="仿宋"/>
          <w:sz w:val="32"/>
        </w:rPr>
        <w:t>（三）政府采购支出情况。</w:t>
      </w:r>
    </w:p>
    <w:p>
      <w:pPr>
        <w:ind w:firstLine="640"/>
        <w:jc w:val="left"/>
        <w:rPr>
          <w:rFonts w:ascii="仿宋" w:hAnsi="仿宋" w:eastAsia="仿宋" w:cs="仿宋"/>
          <w:color w:val="FF0000"/>
          <w:sz w:val="32"/>
        </w:rPr>
      </w:pPr>
      <w:r>
        <w:rPr>
          <w:rFonts w:hint="eastAsia" w:ascii="仿宋" w:hAnsi="仿宋" w:eastAsia="仿宋" w:cs="仿宋"/>
          <w:sz w:val="32"/>
          <w:szCs w:val="32"/>
        </w:rPr>
        <w:t>本部门2019年度政府采购</w:t>
      </w:r>
      <w:r>
        <w:rPr>
          <w:rFonts w:hint="eastAsia" w:ascii="仿宋" w:hAnsi="仿宋" w:eastAsia="仿宋" w:cs="仿宋"/>
          <w:sz w:val="32"/>
        </w:rPr>
        <w:t>1887.2万元，其中，政府采购货物支出195.99万元，政府采购工程支出1578.25万元，政府采购服务支出112.96万元</w:t>
      </w:r>
    </w:p>
    <w:p>
      <w:pPr>
        <w:ind w:firstLine="640"/>
        <w:jc w:val="left"/>
        <w:rPr>
          <w:rFonts w:ascii="仿宋" w:hAnsi="仿宋" w:eastAsia="仿宋" w:cs="仿宋"/>
          <w:sz w:val="32"/>
        </w:rPr>
      </w:pPr>
      <w:r>
        <w:rPr>
          <w:rFonts w:hint="eastAsia" w:ascii="仿宋" w:hAnsi="仿宋" w:eastAsia="仿宋" w:cs="仿宋"/>
          <w:sz w:val="32"/>
        </w:rPr>
        <w:t>（四）国有资产占用情况。</w:t>
      </w:r>
    </w:p>
    <w:p>
      <w:pPr>
        <w:rPr>
          <w:rFonts w:ascii="仿宋" w:hAnsi="仿宋" w:eastAsia="仿宋" w:cs="仿宋"/>
          <w:sz w:val="32"/>
          <w:szCs w:val="32"/>
        </w:rPr>
      </w:pPr>
      <w:r>
        <w:rPr>
          <w:rFonts w:hint="eastAsia" w:ascii="仿宋" w:hAnsi="仿宋" w:eastAsia="仿宋" w:cs="仿宋"/>
          <w:sz w:val="32"/>
          <w:szCs w:val="32"/>
        </w:rPr>
        <w:t>截至2019年12月31日，本部门共有车辆1辆，其中，领导干部用车0辆、一般公务用车1辆、一般执法执勤用车1辆、特种专业技术用车1辆、其他用车0；单位价值50万元以上通用设备0台，单价100万正以上专用设备1台。</w:t>
      </w:r>
    </w:p>
    <w:p>
      <w:pPr>
        <w:ind w:firstLine="640"/>
        <w:jc w:val="left"/>
        <w:rPr>
          <w:rFonts w:ascii="仿宋" w:hAnsi="仿宋" w:eastAsia="仿宋" w:cs="仿宋"/>
          <w:sz w:val="32"/>
        </w:rPr>
      </w:pPr>
    </w:p>
    <w:p>
      <w:pPr>
        <w:ind w:firstLine="640"/>
        <w:jc w:val="left"/>
        <w:rPr>
          <w:rFonts w:ascii="仿宋" w:hAnsi="仿宋" w:eastAsia="仿宋" w:cs="仿宋"/>
          <w:sz w:val="32"/>
        </w:rPr>
      </w:pPr>
    </w:p>
    <w:p>
      <w:pPr>
        <w:jc w:val="center"/>
        <w:rPr>
          <w:rFonts w:ascii="仿宋" w:hAnsi="仿宋" w:eastAsia="仿宋" w:cs="仿宋"/>
          <w:b/>
          <w:bCs/>
          <w:sz w:val="44"/>
        </w:rPr>
      </w:pPr>
      <w:r>
        <w:rPr>
          <w:rFonts w:hint="eastAsia" w:ascii="仿宋" w:hAnsi="仿宋" w:eastAsia="仿宋" w:cs="仿宋"/>
          <w:b/>
          <w:bCs/>
          <w:sz w:val="44"/>
        </w:rPr>
        <w:t>第四部分 名词解释</w:t>
      </w:r>
    </w:p>
    <w:p>
      <w:pPr>
        <w:ind w:firstLine="643"/>
        <w:jc w:val="left"/>
        <w:rPr>
          <w:rFonts w:ascii="仿宋" w:hAnsi="仿宋" w:eastAsia="仿宋" w:cs="仿宋"/>
          <w:b/>
          <w:sz w:val="32"/>
        </w:rPr>
      </w:pPr>
    </w:p>
    <w:p>
      <w:pPr>
        <w:ind w:firstLine="643"/>
        <w:jc w:val="left"/>
        <w:rPr>
          <w:rFonts w:ascii="仿宋" w:hAnsi="仿宋" w:eastAsia="仿宋" w:cs="仿宋"/>
          <w:sz w:val="32"/>
        </w:rPr>
      </w:pPr>
      <w:r>
        <w:rPr>
          <w:rFonts w:hint="eastAsia" w:ascii="仿宋" w:hAnsi="仿宋" w:eastAsia="仿宋" w:cs="仿宋"/>
          <w:b/>
          <w:sz w:val="32"/>
        </w:rPr>
        <w:t>一、财政拨款收入：</w:t>
      </w:r>
      <w:r>
        <w:rPr>
          <w:rFonts w:hint="eastAsia" w:ascii="仿宋" w:hAnsi="仿宋" w:eastAsia="仿宋" w:cs="仿宋"/>
          <w:sz w:val="32"/>
        </w:rPr>
        <w:t xml:space="preserve">指中央财政当年拨付的资金。 </w:t>
      </w:r>
    </w:p>
    <w:p>
      <w:pPr>
        <w:ind w:firstLine="643"/>
        <w:jc w:val="left"/>
        <w:rPr>
          <w:rFonts w:ascii="仿宋" w:hAnsi="仿宋" w:eastAsia="仿宋" w:cs="仿宋"/>
          <w:sz w:val="32"/>
        </w:rPr>
      </w:pPr>
      <w:r>
        <w:rPr>
          <w:rFonts w:hint="eastAsia" w:ascii="仿宋" w:hAnsi="仿宋" w:eastAsia="仿宋" w:cs="仿宋"/>
          <w:b/>
          <w:sz w:val="32"/>
        </w:rPr>
        <w:t>二、事业收入：</w:t>
      </w:r>
      <w:r>
        <w:rPr>
          <w:rFonts w:hint="eastAsia" w:ascii="仿宋" w:hAnsi="仿宋" w:eastAsia="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ascii="仿宋" w:hAnsi="仿宋" w:eastAsia="仿宋" w:cs="仿宋"/>
          <w:sz w:val="32"/>
        </w:rPr>
      </w:pPr>
      <w:r>
        <w:rPr>
          <w:rFonts w:hint="eastAsia" w:ascii="仿宋" w:hAnsi="仿宋" w:eastAsia="仿宋" w:cs="仿宋"/>
          <w:b/>
          <w:sz w:val="32"/>
        </w:rPr>
        <w:t>三、经营收入：</w:t>
      </w:r>
      <w:r>
        <w:rPr>
          <w:rFonts w:hint="eastAsia" w:ascii="仿宋" w:hAnsi="仿宋" w:eastAsia="仿宋" w:cs="仿宋"/>
          <w:sz w:val="32"/>
        </w:rPr>
        <w:t xml:space="preserve">指事业单位在专业业务活动及其辅助活动之外开展非独立核算经营活动取得的收入。如：中国财政杂志社广告收入等。 </w:t>
      </w:r>
    </w:p>
    <w:p>
      <w:pPr>
        <w:ind w:firstLine="643"/>
        <w:jc w:val="left"/>
        <w:rPr>
          <w:rFonts w:ascii="仿宋" w:hAnsi="仿宋" w:eastAsia="仿宋" w:cs="仿宋"/>
          <w:sz w:val="32"/>
        </w:rPr>
      </w:pPr>
      <w:r>
        <w:rPr>
          <w:rFonts w:hint="eastAsia" w:ascii="仿宋" w:hAnsi="仿宋" w:eastAsia="仿宋" w:cs="仿宋"/>
          <w:b/>
          <w:sz w:val="32"/>
        </w:rPr>
        <w:t>四、其他收入：</w:t>
      </w:r>
      <w:r>
        <w:rPr>
          <w:rFonts w:hint="eastAsia" w:ascii="仿宋" w:hAnsi="仿宋" w:eastAsia="仿宋" w:cs="仿宋"/>
          <w:sz w:val="32"/>
        </w:rPr>
        <w:t xml:space="preserve">指除上述“财政拨款收入” 、 “事业收入” 、“经营收入”等以外的收入。主要是按规定动用的售房收入、存款利息收入等。 </w:t>
      </w:r>
    </w:p>
    <w:p>
      <w:pPr>
        <w:ind w:firstLine="643"/>
        <w:jc w:val="left"/>
        <w:rPr>
          <w:rFonts w:ascii="仿宋" w:hAnsi="仿宋" w:eastAsia="仿宋" w:cs="仿宋"/>
          <w:sz w:val="32"/>
        </w:rPr>
      </w:pPr>
      <w:r>
        <w:rPr>
          <w:rFonts w:hint="eastAsia" w:ascii="仿宋" w:hAnsi="仿宋" w:eastAsia="仿宋" w:cs="仿宋"/>
          <w:b/>
          <w:sz w:val="32"/>
        </w:rPr>
        <w:t>五、用事业基金弥补收支差额：</w:t>
      </w:r>
      <w:r>
        <w:rPr>
          <w:rFonts w:hint="eastAsia" w:ascii="仿宋" w:hAnsi="仿宋" w:eastAsia="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ascii="仿宋" w:hAnsi="仿宋" w:eastAsia="仿宋" w:cs="仿宋"/>
          <w:sz w:val="32"/>
        </w:rPr>
      </w:pPr>
      <w:r>
        <w:rPr>
          <w:rFonts w:hint="eastAsia" w:ascii="仿宋" w:hAnsi="仿宋" w:eastAsia="仿宋" w:cs="仿宋"/>
          <w:b/>
          <w:sz w:val="32"/>
        </w:rPr>
        <w:t>六、年初结转和结余：</w:t>
      </w:r>
      <w:r>
        <w:rPr>
          <w:rFonts w:hint="eastAsia" w:ascii="仿宋" w:hAnsi="仿宋" w:eastAsia="仿宋" w:cs="仿宋"/>
          <w:sz w:val="32"/>
        </w:rPr>
        <w:t xml:space="preserve">指以前年度尚未完成、结转到本年按有关规定继续使用的资金。 </w:t>
      </w:r>
    </w:p>
    <w:p>
      <w:pPr>
        <w:ind w:firstLine="643"/>
        <w:jc w:val="left"/>
        <w:rPr>
          <w:rFonts w:ascii="仿宋" w:hAnsi="仿宋" w:eastAsia="仿宋" w:cs="仿宋"/>
          <w:sz w:val="32"/>
        </w:rPr>
      </w:pPr>
      <w:r>
        <w:rPr>
          <w:rFonts w:hint="eastAsia" w:ascii="仿宋" w:hAnsi="仿宋" w:eastAsia="仿宋" w:cs="仿宋"/>
          <w:b/>
          <w:sz w:val="32"/>
        </w:rPr>
        <w:t>七、结余分配：</w:t>
      </w:r>
      <w:r>
        <w:rPr>
          <w:rFonts w:hint="eastAsia" w:ascii="仿宋" w:hAnsi="仿宋" w:eastAsia="仿宋" w:cs="仿宋"/>
          <w:sz w:val="32"/>
        </w:rPr>
        <w:t>指事业单位按规定提取的职工福利基金、事业基金和缴纳的所得税，以及建设单位按规定应交回的基本建设竣工项目结余资金。</w:t>
      </w:r>
    </w:p>
    <w:p>
      <w:pPr>
        <w:ind w:firstLine="643"/>
        <w:jc w:val="left"/>
        <w:rPr>
          <w:rFonts w:ascii="仿宋" w:hAnsi="仿宋" w:eastAsia="仿宋" w:cs="仿宋"/>
          <w:sz w:val="32"/>
        </w:rPr>
      </w:pPr>
      <w:r>
        <w:rPr>
          <w:rFonts w:hint="eastAsia" w:ascii="仿宋" w:hAnsi="仿宋" w:eastAsia="仿宋" w:cs="仿宋"/>
          <w:b/>
          <w:sz w:val="32"/>
        </w:rPr>
        <w:t>八、年末结转和结余：</w:t>
      </w:r>
      <w:r>
        <w:rPr>
          <w:rFonts w:hint="eastAsia" w:ascii="仿宋" w:hAnsi="仿宋" w:eastAsia="仿宋" w:cs="仿宋"/>
          <w:sz w:val="32"/>
        </w:rPr>
        <w:t xml:space="preserve">指本年度或以前年度预算安排、因客观条件发生变化无法按原计划实施，需要延迟到以后年度按有关规定继续使用的资金。 </w:t>
      </w:r>
    </w:p>
    <w:p>
      <w:pPr>
        <w:ind w:firstLine="643"/>
        <w:jc w:val="left"/>
        <w:rPr>
          <w:rFonts w:ascii="仿宋" w:hAnsi="仿宋" w:eastAsia="仿宋" w:cs="仿宋"/>
          <w:sz w:val="32"/>
        </w:rPr>
      </w:pPr>
      <w:r>
        <w:rPr>
          <w:rFonts w:hint="eastAsia" w:ascii="仿宋" w:hAnsi="仿宋" w:eastAsia="仿宋" w:cs="仿宋"/>
          <w:b/>
          <w:sz w:val="32"/>
        </w:rPr>
        <w:t>九、基本支出：</w:t>
      </w:r>
      <w:r>
        <w:rPr>
          <w:rFonts w:hint="eastAsia" w:ascii="仿宋" w:hAnsi="仿宋" w:eastAsia="仿宋" w:cs="仿宋"/>
          <w:sz w:val="32"/>
        </w:rPr>
        <w:t>指为保障机构正常运转、完成日常工</w:t>
      </w:r>
    </w:p>
    <w:p>
      <w:pPr>
        <w:jc w:val="left"/>
        <w:rPr>
          <w:rFonts w:ascii="仿宋" w:hAnsi="仿宋" w:eastAsia="仿宋" w:cs="仿宋"/>
          <w:sz w:val="32"/>
        </w:rPr>
      </w:pPr>
      <w:r>
        <w:rPr>
          <w:rFonts w:hint="eastAsia" w:ascii="仿宋" w:hAnsi="仿宋" w:eastAsia="仿宋" w:cs="仿宋"/>
          <w:sz w:val="32"/>
        </w:rPr>
        <w:t xml:space="preserve">作任务而发生的人员支出和公用支出。 </w:t>
      </w:r>
    </w:p>
    <w:p>
      <w:pPr>
        <w:ind w:firstLine="643"/>
        <w:jc w:val="left"/>
        <w:rPr>
          <w:rFonts w:ascii="仿宋" w:hAnsi="仿宋" w:eastAsia="仿宋" w:cs="仿宋"/>
          <w:sz w:val="32"/>
        </w:rPr>
      </w:pPr>
      <w:r>
        <w:rPr>
          <w:rFonts w:hint="eastAsia" w:ascii="仿宋" w:hAnsi="仿宋" w:eastAsia="仿宋" w:cs="仿宋"/>
          <w:b/>
          <w:sz w:val="32"/>
        </w:rPr>
        <w:t>十、项目支出：</w:t>
      </w:r>
      <w:r>
        <w:rPr>
          <w:rFonts w:hint="eastAsia" w:ascii="仿宋" w:hAnsi="仿宋" w:eastAsia="仿宋" w:cs="仿宋"/>
          <w:sz w:val="32"/>
        </w:rPr>
        <w:t xml:space="preserve">指在基本支出之外为完成特定行政任务和事业发展目标所发生的支出。 </w:t>
      </w:r>
    </w:p>
    <w:p>
      <w:pPr>
        <w:ind w:firstLine="643"/>
        <w:jc w:val="left"/>
        <w:rPr>
          <w:rFonts w:ascii="仿宋" w:hAnsi="仿宋" w:eastAsia="仿宋" w:cs="仿宋"/>
          <w:sz w:val="32"/>
        </w:rPr>
      </w:pPr>
      <w:r>
        <w:rPr>
          <w:rFonts w:hint="eastAsia" w:ascii="仿宋" w:hAnsi="仿宋" w:eastAsia="仿宋" w:cs="仿宋"/>
          <w:b/>
          <w:sz w:val="32"/>
        </w:rPr>
        <w:t>十一、经营支出：</w:t>
      </w:r>
      <w:r>
        <w:rPr>
          <w:rFonts w:hint="eastAsia" w:ascii="仿宋" w:hAnsi="仿宋" w:eastAsia="仿宋" w:cs="仿宋"/>
          <w:sz w:val="32"/>
        </w:rPr>
        <w:t xml:space="preserve">指事业单位在专业业务活动及其辅助活动之外开展非独立核算经营活动发生的支出。 </w:t>
      </w:r>
    </w:p>
    <w:p>
      <w:pPr>
        <w:ind w:firstLine="643"/>
        <w:jc w:val="left"/>
        <w:rPr>
          <w:rFonts w:ascii="仿宋" w:hAnsi="仿宋" w:eastAsia="仿宋" w:cs="仿宋"/>
          <w:sz w:val="32"/>
        </w:rPr>
      </w:pPr>
      <w:r>
        <w:rPr>
          <w:rFonts w:hint="eastAsia" w:ascii="仿宋" w:hAnsi="仿宋" w:eastAsia="仿宋" w:cs="仿宋"/>
          <w:b/>
          <w:sz w:val="32"/>
        </w:rPr>
        <w:t>十二、“三公”经费：</w:t>
      </w:r>
      <w:r>
        <w:rPr>
          <w:rFonts w:hint="eastAsia" w:ascii="仿宋" w:hAnsi="仿宋" w:eastAsia="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jc w:val="left"/>
        <w:rPr>
          <w:rFonts w:ascii="仿宋" w:hAnsi="仿宋" w:eastAsia="仿宋" w:cs="仿宋"/>
          <w:sz w:val="32"/>
        </w:rPr>
      </w:pPr>
      <w:r>
        <w:rPr>
          <w:rFonts w:hint="eastAsia" w:ascii="仿宋" w:hAnsi="仿宋" w:eastAsia="仿宋" w:cs="仿宋"/>
          <w:b/>
          <w:sz w:val="32"/>
        </w:rPr>
        <w:t>十三、机关运行经费：</w:t>
      </w:r>
      <w:r>
        <w:rPr>
          <w:rFonts w:hint="eastAsia" w:ascii="仿宋" w:hAnsi="仿宋" w:eastAsia="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3"/>
        <w:jc w:val="left"/>
        <w:rPr>
          <w:rFonts w:ascii="仿宋" w:hAnsi="仿宋" w:eastAsia="仿宋" w:cs="仿宋"/>
          <w:b/>
          <w:color w:val="FF0000"/>
          <w:sz w:val="32"/>
        </w:rPr>
      </w:pPr>
    </w:p>
    <w:p>
      <w:pPr>
        <w:ind w:firstLine="640"/>
        <w:jc w:val="left"/>
        <w:rPr>
          <w:rFonts w:ascii="仿宋" w:hAnsi="仿宋" w:eastAsia="仿宋" w:cs="仿宋"/>
          <w:sz w:val="32"/>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00EB38"/>
    <w:multiLevelType w:val="multilevel"/>
    <w:tmpl w:val="5100EB38"/>
    <w:lvl w:ilvl="0" w:tentative="0">
      <w:start w:val="3"/>
      <w:numFmt w:val="decimal"/>
      <w:suff w:val="nothing"/>
      <w:lvlText w:val="%1、"/>
      <w:lvlJc w:val="left"/>
      <w:rPr>
        <w:rFonts w:hint="default" w:ascii="Times New Roman" w:hAnsi="Times New Roman" w:eastAsia="宋体"/>
        <w:u w:val="none"/>
      </w:rPr>
    </w:lvl>
    <w:lvl w:ilvl="1" w:tentative="0">
      <w:start w:val="1"/>
      <w:numFmt w:val="decimal"/>
      <w:lvlText w:val=""/>
      <w:lvlJc w:val="left"/>
      <w:rPr>
        <w:rFonts w:hint="default" w:ascii="Times New Roman" w:hAnsi="Times New Roman" w:eastAsia="宋体"/>
        <w:u w:val="none"/>
      </w:rPr>
    </w:lvl>
    <w:lvl w:ilvl="2" w:tentative="0">
      <w:start w:val="1"/>
      <w:numFmt w:val="decimal"/>
      <w:lvlText w:val=""/>
      <w:lvlJc w:val="left"/>
      <w:rPr>
        <w:rFonts w:hint="default" w:ascii="Times New Roman" w:hAnsi="Times New Roman" w:eastAsia="宋体"/>
        <w:u w:val="none"/>
      </w:rPr>
    </w:lvl>
    <w:lvl w:ilvl="3" w:tentative="0">
      <w:start w:val="1"/>
      <w:numFmt w:val="decimal"/>
      <w:lvlText w:val=""/>
      <w:lvlJc w:val="left"/>
      <w:rPr>
        <w:rFonts w:hint="default" w:ascii="Times New Roman" w:hAnsi="Times New Roman" w:eastAsia="宋体"/>
        <w:u w:val="none"/>
      </w:rPr>
    </w:lvl>
    <w:lvl w:ilvl="4" w:tentative="0">
      <w:start w:val="1"/>
      <w:numFmt w:val="decimal"/>
      <w:lvlText w:val=""/>
      <w:lvlJc w:val="left"/>
      <w:rPr>
        <w:rFonts w:hint="default" w:ascii="Times New Roman" w:hAnsi="Times New Roman" w:eastAsia="宋体"/>
        <w:u w:val="none"/>
      </w:rPr>
    </w:lvl>
    <w:lvl w:ilvl="5" w:tentative="0">
      <w:start w:val="1"/>
      <w:numFmt w:val="decimal"/>
      <w:lvlText w:val=""/>
      <w:lvlJc w:val="left"/>
      <w:rPr>
        <w:rFonts w:hint="default" w:ascii="Times New Roman" w:hAnsi="Times New Roman" w:eastAsia="宋体"/>
        <w:u w:val="none"/>
      </w:rPr>
    </w:lvl>
    <w:lvl w:ilvl="6" w:tentative="0">
      <w:start w:val="1"/>
      <w:numFmt w:val="decimal"/>
      <w:lvlText w:val=""/>
      <w:lvlJc w:val="left"/>
      <w:rPr>
        <w:rFonts w:hint="default" w:ascii="Times New Roman" w:hAnsi="Times New Roman" w:eastAsia="宋体"/>
        <w:u w:val="none"/>
      </w:rPr>
    </w:lvl>
    <w:lvl w:ilvl="7" w:tentative="0">
      <w:start w:val="1"/>
      <w:numFmt w:val="decimal"/>
      <w:lvlText w:val=""/>
      <w:lvlJc w:val="left"/>
      <w:rPr>
        <w:rFonts w:hint="default" w:ascii="Times New Roman" w:hAnsi="Times New Roman" w:eastAsia="宋体"/>
        <w:u w:val="none"/>
      </w:rPr>
    </w:lvl>
    <w:lvl w:ilvl="8" w:tentative="0">
      <w:start w:val="1"/>
      <w:numFmt w:val="decimal"/>
      <w:lvlText w:val=""/>
      <w:lvlJc w:val="left"/>
      <w:rPr>
        <w:rFonts w:hint="default" w:ascii="Times New Roman" w:hAnsi="Times New Roman" w:eastAsia="宋体"/>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rsids>
    <w:rsidRoot w:val="00361F25"/>
    <w:rsid w:val="000E1DA1"/>
    <w:rsid w:val="0011267F"/>
    <w:rsid w:val="001352FB"/>
    <w:rsid w:val="00361F25"/>
    <w:rsid w:val="003638A2"/>
    <w:rsid w:val="004606BE"/>
    <w:rsid w:val="004E2F24"/>
    <w:rsid w:val="00582244"/>
    <w:rsid w:val="0061572C"/>
    <w:rsid w:val="0065030C"/>
    <w:rsid w:val="00732CB0"/>
    <w:rsid w:val="008F546E"/>
    <w:rsid w:val="0096182A"/>
    <w:rsid w:val="009B4C5A"/>
    <w:rsid w:val="00B27C51"/>
    <w:rsid w:val="00B365C0"/>
    <w:rsid w:val="00B44575"/>
    <w:rsid w:val="00BD0975"/>
    <w:rsid w:val="00C44F18"/>
    <w:rsid w:val="00D21CDF"/>
    <w:rsid w:val="00D83956"/>
    <w:rsid w:val="00DF6FA5"/>
    <w:rsid w:val="00E517E0"/>
    <w:rsid w:val="00EB689C"/>
    <w:rsid w:val="00EC2A23"/>
    <w:rsid w:val="00EC2AAC"/>
    <w:rsid w:val="00ED2A24"/>
    <w:rsid w:val="00F322AD"/>
    <w:rsid w:val="00F35C36"/>
    <w:rsid w:val="00F94200"/>
    <w:rsid w:val="050C4CC5"/>
    <w:rsid w:val="06561D83"/>
    <w:rsid w:val="0A973AC7"/>
    <w:rsid w:val="0BE97951"/>
    <w:rsid w:val="0BFE0901"/>
    <w:rsid w:val="0CE409DC"/>
    <w:rsid w:val="0D696A1B"/>
    <w:rsid w:val="0FD80833"/>
    <w:rsid w:val="108B4F26"/>
    <w:rsid w:val="11B468F5"/>
    <w:rsid w:val="13574863"/>
    <w:rsid w:val="14341FEC"/>
    <w:rsid w:val="175E5225"/>
    <w:rsid w:val="1A3725BA"/>
    <w:rsid w:val="1A932AD9"/>
    <w:rsid w:val="1AD018BB"/>
    <w:rsid w:val="1D455755"/>
    <w:rsid w:val="1D4F1531"/>
    <w:rsid w:val="1DE64DCB"/>
    <w:rsid w:val="1E0F055E"/>
    <w:rsid w:val="21B049AA"/>
    <w:rsid w:val="254E6FB1"/>
    <w:rsid w:val="261D123B"/>
    <w:rsid w:val="2A287893"/>
    <w:rsid w:val="2D8251DC"/>
    <w:rsid w:val="30907CDC"/>
    <w:rsid w:val="31E26AE1"/>
    <w:rsid w:val="341342D8"/>
    <w:rsid w:val="34AD16AA"/>
    <w:rsid w:val="353E2F8C"/>
    <w:rsid w:val="36910E7D"/>
    <w:rsid w:val="3BAC54AD"/>
    <w:rsid w:val="3F3C6D9F"/>
    <w:rsid w:val="3FFE46D3"/>
    <w:rsid w:val="423F574E"/>
    <w:rsid w:val="435969EF"/>
    <w:rsid w:val="43D942D7"/>
    <w:rsid w:val="44064520"/>
    <w:rsid w:val="447C72E9"/>
    <w:rsid w:val="459338F9"/>
    <w:rsid w:val="4E1711C7"/>
    <w:rsid w:val="528D01EB"/>
    <w:rsid w:val="538E6BCA"/>
    <w:rsid w:val="560C0151"/>
    <w:rsid w:val="56FD6078"/>
    <w:rsid w:val="59C61298"/>
    <w:rsid w:val="5A8D511D"/>
    <w:rsid w:val="5AAE1FC3"/>
    <w:rsid w:val="5FCD5FF2"/>
    <w:rsid w:val="61B2453C"/>
    <w:rsid w:val="623F371D"/>
    <w:rsid w:val="664C6171"/>
    <w:rsid w:val="66FB240C"/>
    <w:rsid w:val="671C5181"/>
    <w:rsid w:val="67DB0821"/>
    <w:rsid w:val="67FF7634"/>
    <w:rsid w:val="6B595AAB"/>
    <w:rsid w:val="6CDB322A"/>
    <w:rsid w:val="6DDC1F84"/>
    <w:rsid w:val="6EDA0767"/>
    <w:rsid w:val="6F0F7E90"/>
    <w:rsid w:val="73D07660"/>
    <w:rsid w:val="78414EAC"/>
    <w:rsid w:val="7F3414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spacing w:before="100" w:beforeAutospacing="1" w:after="100" w:afterAutospacing="1"/>
      <w:jc w:val="left"/>
    </w:pPr>
    <w:rPr>
      <w:rFonts w:hint="eastAsia" w:ascii="宋体" w:hAnsi="宋体"/>
      <w:sz w:val="24"/>
    </w:rPr>
  </w:style>
  <w:style w:type="character" w:styleId="7">
    <w:name w:val="Hyperlink"/>
    <w:basedOn w:val="6"/>
    <w:unhideWhenUsed/>
    <w:qFormat/>
    <w:uiPriority w:val="99"/>
    <w:rPr>
      <w:color w:val="0000FF" w:themeColor="hyperlink"/>
      <w:u w:val="single"/>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1008</Words>
  <Characters>5752</Characters>
  <Lines>47</Lines>
  <Paragraphs>13</Paragraphs>
  <TotalTime>68</TotalTime>
  <ScaleCrop>false</ScaleCrop>
  <LinksUpToDate>false</LinksUpToDate>
  <CharactersWithSpaces>6747</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2018-06-14T08:18:00Z</dcterms:created>
  <dc:creator>Administrator</dc:creator>
  <cp:lastModifiedBy>Fighting！</cp:lastModifiedBy>
  <dcterms:modified xsi:type="dcterms:W3CDTF">2020-08-17T08:24:27Z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