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0" w:beforeAutospacing="0" w:after="750" w:afterAutospacing="0"/>
        <w:ind w:left="0" w:right="0" w:firstLine="0"/>
        <w:jc w:val="center"/>
        <w:rPr>
          <w:rFonts w:ascii="微软雅黑" w:hAnsi="微软雅黑" w:eastAsia="微软雅黑" w:cs="微软雅黑"/>
          <w:b w:val="0"/>
          <w:i w:val="0"/>
          <w:caps w:val="0"/>
          <w:color w:val="000000"/>
          <w:spacing w:val="0"/>
          <w:sz w:val="42"/>
          <w:szCs w:val="42"/>
        </w:rPr>
      </w:pPr>
      <w:r>
        <w:rPr>
          <w:rFonts w:hint="eastAsia" w:ascii="微软雅黑" w:hAnsi="微软雅黑" w:eastAsia="微软雅黑" w:cs="微软雅黑"/>
          <w:b w:val="0"/>
          <w:i w:val="0"/>
          <w:caps w:val="0"/>
          <w:color w:val="000000"/>
          <w:spacing w:val="0"/>
          <w:sz w:val="42"/>
          <w:szCs w:val="42"/>
          <w:bdr w:val="none" w:color="auto" w:sz="0" w:space="0"/>
          <w:shd w:val="clear" w:fill="FFFFFF"/>
        </w:rPr>
        <w:t>湖南沅江高新技术产业园区2019年决算说明</w:t>
      </w:r>
    </w:p>
    <w:p>
      <w:pPr>
        <w:keepNext w:val="0"/>
        <w:keepLines w:val="0"/>
        <w:widowControl/>
        <w:suppressLineNumbers w:val="0"/>
        <w:shd w:val="clear" w:fill="FFFFFF"/>
        <w:spacing w:line="420" w:lineRule="atLeast"/>
        <w:ind w:left="0" w:firstLine="0"/>
        <w:jc w:val="left"/>
        <w:rPr>
          <w:rFonts w:hint="eastAsia" w:ascii="微软雅黑" w:hAnsi="微软雅黑" w:eastAsia="微软雅黑" w:cs="微软雅黑"/>
          <w:i w:val="0"/>
          <w:caps w:val="0"/>
          <w:color w:val="000000"/>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caps w:val="0"/>
          <w:color w:val="000000"/>
          <w:spacing w:val="0"/>
          <w:sz w:val="30"/>
          <w:szCs w:val="30"/>
          <w:bdr w:val="none" w:color="auto" w:sz="0" w:space="0"/>
          <w:shd w:val="clear" w:fill="FFFFFF"/>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sz w:val="30"/>
          <w:szCs w:val="30"/>
          <w:bdr w:val="none" w:color="auto" w:sz="0" w:space="0"/>
          <w:shd w:val="clear" w:fill="FFFFFF"/>
        </w:rPr>
        <w:t>第一部分  湖南沅江高新技术产业园区管理委员会概况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一、主要职能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贯彻执行党和国家关于高新技术产业园区发展的法律、法规和方针、政策；研究制定并组织实施沅江高新区各项管理制度和改革措施，探索高新技术产业园区改革和发展的新路子、新模式；开展政策、法规宣传教育工作，检查督促各项政策、法规的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（二）编制沅江高新区中长期建设、科技、经济发展规划并组织实施。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（三）按照沅江市城市整体规划的要求，规划和管理沅江高新区内的各种建设项目。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 (四）负责沅江高新区内企业的有关管理和服务工作；组织和指导区内企业深化改革，建立现代企业制度；指导区内企业的科研、新产品开发，审核和申报高新技术产品和企业，办理企业项目扶持资金；组织区内科技计划、科研项目、科研成果鉴定和申报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（五）负责沅江高新区招商引资有关工作；审核和批准管理范围内的外资和内资项目；指导和协调招商引资、对外经济技术合作与交流；按规定处理区内有关涉外事务。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（六）负责沅江高新区的综合、信息、审计、统计、财政收支管理及国有资产管理。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（七）负责协调沅江高新区的教育、民政、文化、卫生、人口和计划生育、体育等有关社会公共事务管理。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（八）负责沅江高新区的党群、纪检监察、组织、机构编制、人力资源和社会保障等有关工作。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（九）根据授权，负责行使沅江高新区管理范围内的国土、财政等派出机构的工作指导、监督和协调。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（十）承办益阳市委、市政府和沅江市委、市政府交办的其他事项。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二、部门预算单位构成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湖南沅江高新技术产业园区管理委员会设8个内设机构（副科级）：分别为纪检监察室、办公室、产业发展局、经济合作局、规划建设局、安全生产监督管理局、社会事务管理局(综合治理办公室)、征地拆迁安置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315" w:right="0" w:firstLine="0"/>
        <w:jc w:val="center"/>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30"/>
          <w:szCs w:val="30"/>
          <w:bdr w:val="none" w:color="auto" w:sz="0" w:space="0"/>
          <w:shd w:val="clear" w:fill="FFFFFF"/>
        </w:rPr>
        <w:t>第二部分  湖南沅江高新技术产业园区管理委员会2019年度部门决算表（见附件）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30"/>
          <w:szCs w:val="30"/>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50"/>
        <w:jc w:val="center"/>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30"/>
          <w:szCs w:val="30"/>
          <w:bdr w:val="none" w:color="auto" w:sz="0" w:space="0"/>
          <w:shd w:val="clear" w:fill="FFFFFF"/>
        </w:rPr>
        <w:t>第三部分  湖南沅江高新技术产业园区管理委员会2019年度部门决算情况说明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一、收入支出决算总体情况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2019年度收、支总计15753万元，与2017年相比，收、支总计减少1526万元，下降8.83%。主要原因是2019年单位建设项目减少,收入来源为财政拨款。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二、收入决算情况说明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2019年收入实际完成15,753万元，比上年减少1,526万元， 下降8.83%。其中：一般公共预算财政拨款收入完成1,348万元，比上年减少45万元，下降3.2%；政府性基金财政拨款收入完成13,945万元，比上年减少1,857万元，下降11.74%；其他收入完成460万元，比上年增加375万元，增长441.39%</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三、支出决算情况说明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2019年，本部门支出14,561万元，比上年减少2,981万元，下降16.99%。其中：基本支出完成791万元，比上年增加245万元，增长44.77%。（人员经费完成615万元，比上年增加198万元，增长47.43%。公用经费完成176万元，比上年增加47万元，增长36.21%。）项目支出13,770万元，比上年减少3,225万元，下降18.98%。</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四、财政拨款收入支出决算总体情况说明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2019年度财政拨款收、支总计15292.74万元，与2018年相比，财政拨款收、支总计各减少2164万元，下降12.4%。主要原因是2019年单位建设项目减少，收入来源为财政拨款。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五、一般公共预算财政拨款支出决算情况说明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（一）一般公共预算拨款支出总体情况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2019年度财政拨款支出1344.35万元，占本年支出合计的9.23%。与2018年度相比，比上年减少310万元，减少18.74%。主要原因是:一般公共服务支出比上年增加73.64万元，科学技术支出比上年增加8万元，节能环保支出增加400万元，城乡社区支出减少153.11万元，资源勘探信息等支出比上年减少790.13万元，商业服务业等支出减少45万元，金融支出增加173.56万元，住房保障支出比上年增加23.04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（二）一般公共预算拨款支出决算结构情况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般公共预算拨款支出1344.35万元，主要用于以下方面：一般公共服务支出460.05万元，占34.22%。科学技术支出8万元，占0.6%。节能环保支出400万元，占29.75%。城乡社区支出200万元，占14.87%。资源勘探信息等支出65.46万元，占4.87%。金融支出173.56万元，占12.91%。住房保障支出37.28万元，占2. 8%。</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（三）一般公共预算拨款支出决算具体情况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2019年度财政拨款支出年初预算为501.45万元，支出决算为1344.35.万元，完成年初预算的100%。支出决算大于年初预算的主要原因是部分建设项目年初没做预算，但是在项目建设中，建设资金通过财政拨款到我单位，建设资金纳入了沅江市国库集中支付管理体系。其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按经济分类：工资福利支出423.34万元，比上年增加2.73%。商品和服务支出81.61万元，比上年减少466%。对个人和家庭的补助0.077万元，比上年减少98.4%。对企业补助573.56万元，比上年增加399%。项目支出265.76万元，比上年减少76.02%。其中：基础设施建设支出265.46万元，比上年减少74.49%。办公设备购置0.3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六、一般公共预算财政拨款基本支出决算情况说明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沅江市高新技术开发区管理委员会2019年度一般公共预算财政拨款基本支出467.13万元。其中: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人员经费423.42万元，主要包括：按国家规定支出的基本工资、津贴补贴、其他社会保障缴费、伙食补助费、机关事业单位基本养老保险缴费、其他工资福利支出、离休费、退休费、抚恤金、生活补助、医疗费、住房公积金、提租补贴、购房补贴、采暖补贴、物业服务补贴、其他对个人和家庭的补助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公用经费43.71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其他资本性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七、一般公共预算财政拨款“三公”经费决算情况说明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（一）“三公”经费财政拨款支出决算总体情况说明。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2019年，我单位 “三公”经费财政拨款预算数10万元，其中：公务接待费5万元，公务用车购置及运行维护费5万元。决算数为2.64万元，主要原因是：由于2019年9月前我单位财务由机关财务和公司财务两套财务核算。机关财务实行事业单位核算制度(机关财务已纳入沅江市国库集中支付管理体系)；湖南沅江桔城工业项目开发公司、沅江市远大建设投资有限公司，财务按企业化管理模式和企业会计制度运行(公司财务未纳入沅江市国库集中支付管理体系)，园区资产在公司名下,“三公”经费在公司列支。自2019年9月“三公”经费开始在机关列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（二）“三公”经费财政拨款支出决算具体情况说明。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2019年度单位“三公”经费财政拨款支出2.64万元。其中公务接待费为2.64万元，公务用车购置及运行维护费为0元，因公出国（境）费0元。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八、政府性基金预算收入支出决算情况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2019年政府性基金本年收入13945.03万元,占本年收入合计的88.52%，比上年减少11.75%。本年支出12892.46万元,占本年支出合计的89.16%，比上年减少18.41%。项目支出12892.46万元,比上年减少18.41%。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九、预算绩效情况说明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（一）绩效管理工作开展情况。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2019年度我系统纳入绩效评价的项目为部门整体预算支出绩效评价，无专项项目，涉及预算金额501.45万元。2019年部门支出主要是为了满足扎实高效地组织开展各项工作，促进园区经济又好又快发展。主要支出是如下几个方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480"/>
        <w:jc w:val="left"/>
        <w:rPr>
          <w:rFonts w:ascii="Calibri" w:hAnsi="Calibri" w:cs="Calibri"/>
          <w:i w:val="0"/>
          <w:caps w:val="0"/>
          <w:color w:val="000000"/>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一是稳增长。全年园区实现规模工业增加值54.01亿元，同比增长3.4%，上缴税费2.16亿元,同比增长6.5%，实现进出口总额7147万美元，同比增长34.2%，利用外资总额4035万美元，同比增长11.43%，到位内资55.45亿元，同比增长9.3%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480"/>
        <w:jc w:val="left"/>
        <w:rPr>
          <w:rFonts w:hint="default" w:ascii="Calibri" w:hAnsi="Calibri" w:cs="Calibri"/>
          <w:i w:val="0"/>
          <w:caps w:val="0"/>
          <w:color w:val="000000"/>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二是强基础。投入1.7亿元，建成食品产业园标准化厂房6.4万㎡，给排水、消防、冻库等配套设施相继建成和完善。建成状元路、金美大道、瑞丰南侧及东侧道路，中联智能大道已启动建设。园区企业服务中心、园区职工生活食堂正式投入使用。完成新马制衣厂区道路白改黑工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480"/>
        <w:jc w:val="left"/>
        <w:rPr>
          <w:rFonts w:hint="default" w:ascii="Calibri" w:hAnsi="Calibri" w:cs="Calibri"/>
          <w:i w:val="0"/>
          <w:caps w:val="0"/>
          <w:color w:val="000000"/>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三是抓项目。鑫海股份二期工程、泉奇童装平台已经建成。中联重科智能制造园经过回填40万土方和土地强夯，现已启动主体工程建设。新马二期已经完成100亩工业用地征地拆迁工作，余下100亩工业用地正在进行征地拆迁。精一机械顺利启动建设。新增规模企业15个，新增高新技术企业9个，新投产新建工业项目17个。全年共签约中民筑友、广隆包装等项目27个。</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480"/>
        <w:jc w:val="left"/>
        <w:rPr>
          <w:rFonts w:hint="default" w:ascii="Calibri" w:hAnsi="Calibri" w:cs="Calibri"/>
          <w:i w:val="0"/>
          <w:caps w:val="0"/>
          <w:color w:val="000000"/>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四是重规划。充分发挥规划引领作用。高新区控制性详规已经完成，准备提交市规划委员会评审。为做大做强园区四大特色产业，制定了“一园一策”，明确了园区特色产业发展近、远期目标和推进措施。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十、其他重要事项情况说明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（一）机关（事业）运行经费支出情况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沅江市高新技术产业园区管理委员会单位性质为财政补助事业单位，部门决算报表没有机关（事业）运行经费统计数据。主要原因是：由于我单位财务由机关财务和公司财务两套财务核算。机关财务实行事业单位核算制度(机关财务已纳入沅江市国库集中支付管理体系)；湖南沅江桔城工业项目开发公司、沅江市远大建设投资有限公司，财务按企业化管理模式和企业会计制度运行(公司财务未纳入沅江市国库集中支付管理体系)，园区资产在公司名下,机关运行经费在公司列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（二）政府采购支出情情况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2019年度无政府采购计划。由于我单位财务由机关财务和公司财务两套财务核算。机关财务实行事业单位核算制度(机关财务已纳入沅江市国库集中支付管理体系)；湖南沅江桔城工业项目开发公司、沅江市远大建设投资有限公司，财务按企业化管理模式和企业会计制度运行(公司财务未纳入沅江市国库集中支付管理体系)，园区资产在公司名下,园区采购均在公司列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（三）国有资产占有情况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480"/>
        <w:jc w:val="left"/>
        <w:rPr>
          <w:rFonts w:hint="default" w:ascii="Calibri" w:hAnsi="Calibri" w:cs="Calibri"/>
          <w:i w:val="0"/>
          <w:caps w:val="0"/>
          <w:color w:val="000000"/>
          <w:spacing w:val="0"/>
          <w:sz w:val="21"/>
          <w:szCs w:val="21"/>
        </w:rPr>
      </w:pPr>
      <w:r>
        <w:rPr>
          <w:rFonts w:hint="eastAsia" w:ascii="微软雅黑" w:hAnsi="微软雅黑" w:eastAsia="微软雅黑" w:cs="微软雅黑"/>
          <w:i w:val="0"/>
          <w:caps w:val="0"/>
          <w:color w:val="000000"/>
          <w:spacing w:val="0"/>
          <w:sz w:val="24"/>
          <w:szCs w:val="24"/>
          <w:bdr w:val="none" w:color="auto" w:sz="0" w:space="0"/>
          <w:shd w:val="clear" w:fill="FFFFFF"/>
        </w:rPr>
        <w:t>本单位年末无车辆。年末无单价50万元以上通用设备。年末无单价100万元以上通用设备。2019年末资产负债率为89％，2018年资产负债率为98.8％，近年来资产负债率在逐年降低。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center"/>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 </w:t>
      </w:r>
      <w:r>
        <w:rPr>
          <w:rFonts w:hint="eastAsia" w:ascii="微软雅黑" w:hAnsi="微软雅黑" w:eastAsia="微软雅黑" w:cs="微软雅黑"/>
          <w:i w:val="0"/>
          <w:caps w:val="0"/>
          <w:color w:val="000000"/>
          <w:spacing w:val="0"/>
          <w:sz w:val="28"/>
          <w:szCs w:val="28"/>
          <w:bdr w:val="none" w:color="auto" w:sz="0" w:space="0"/>
          <w:shd w:val="clear" w:fill="FFFFFF"/>
        </w:rPr>
        <w:t>第四部分  名词解释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财政拨款收入：指本级财政当年拨付的资金。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其他收入：指除上述“财政拨款收入”、“上级补助收入”、“事业收入”、“经营收入”、“附属单位上缴收入”等以外的收入。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上年结转和结余：指以前年度尚未完成、结转到本年按有关规定继续使用的资金。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一般公共服务支出（类）：是指用于人大、政协、政府办公厅（室）及相关机构事务、发展与改革事务、统计信息事务、财政事务、税收事务、审计事务、人力资源事务、纪检监察事务、商贸事务、工商行政管理事务、质量技术监督与检验检疫事务、民族事务、档案事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城乡社区支出（类）：是指用于城乡社区事务支出，包括保障机构正常运转、完成日常和特定的工作任务或事业发展目标的支出。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农林水支出（类）：是指用于农林水事务支出，包括保障机构正常运转、完成日常和特定的工作任务或事业发展目标的支出。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资源勘探信息等支出（类）：是指用于资源勘探、制造业、建筑业、工业信息等方面支出，包括保障机构正常运转、完成日常和特定的工作任务或事业发展目标的支出。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商业服务业等支出（类）：是指用于商业服务业等方面的支出。包括保障机构正常运转、完成日常和特定的工作任务或事业发展目标的支出。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住房保障支出（类）：是指用于住房方面的支出，包括保障机构正常运转、完成日常和特定的工作任务或事业发展目标的支出。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基本支出：指保障机构正常运转、完成支日常工作任务而发生的人员支出和公用支出。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项目支出：指在基本支出之外为完成特定行政任务和事业发展目标所发生的支出。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政府采购 ：就是指国家各级政府为从事日常的政务活动或为了满足公共服务的目的，利用国家财政性资金和政府借款购买货物、工程和服务的行为。政府采购不仅是指具体的采购过程，而且是采购政策、采购程序、采购过程及采购管理的总称，是一种对公共采购管理的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工资福利支出：反映单位开支的在职职工和编制外长期聘用人员的各类劳动报酬，以及为上述人员缴纳的各项社会保险费等。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基本工资：反映按规定发放的基本工资，包括公务员的职务工资、级别工资；机关工人的岗位工资、技术等级工资；事业单位工作人员的岗位工资、薪级工资；各类学校毕业生试用期(见习期)工资、新参加工作工人学徒期、熟练期工资；军队（武警）军官、文职干部的职务（专业技术等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津贴补贴：反映经国家批准建立的机关事业单位艰苦边远地区津贴、机关工作人员地区附加津贴、机关工作人员岗位津贴、事业单位工作人员特殊岗位津贴补贴等。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机关事业单位基本养老保险缴费：反映机关事业单位缴纳的基本养老保险费。由单位代扣的工作人员基本养老保险缴费，不在此科目反映。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职业年金缴费：反映机关事业单位实际缴纳的职业年金支出。由单位代扣的工作人员职业年金缴费，不在此科目反映。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职工基本医疗保险缴费：反映单位为职工缴纳的基本医疗保险费。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其他社会保障缴费：反映单位为职工缴纳的基本医疗、失业、工伤、生育等社会保险费，残疾人就业保障金，军队（含武警）为军人缴纳的伤亡、退役医疗等社会保险费。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住房公积金：反映行政事业单位按人力资源和社会保障部、财政部规定的基本工资和津贴补贴以及规定比例为职工缴纳的住房公积金。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商品和服务支出：反映单位购买商品和服务的支出（不包括用于购置固定资产的支出、战略性和应急储备支出）。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办公费：反映单位购买按财务会计制度规定不符合固定资产确认标准的日常办公用品、书报杂志等支出。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劳务费：反映支付给单位和个人的劳务费用，如临时聘用人员、钟点工工资，稿费、翻译费，评审费等。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委托业务费：反映因委托外单位办理业务而支付的委托业务费。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对个人和家庭的补助：反映政府用于对个人和家庭的补助支出。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退休费：反映行政事业单位和军队移交政府安置的退休人员的退休费和其他补贴。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生活补助：反映按规定开支的优抚对象定期定量生活补助费，退役军人生活补助费，行政事业单位职工和遗属生活补助，因公负伤等住院治疗、住疗养院期间的伙食补助费，长期赡养人员补助费，由于国家实行退耕还林禁牧舍饲政策补偿给农牧民的现金、粮食支出，对农村党员、复员军人的补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对企业补助：反映政府对各类企业的补助支出。切块由发展改革部门安排的基本建设支出中对企业补助支出不在此科目反映。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480"/>
        <w:jc w:val="both"/>
        <w:rPr>
          <w:rFonts w:hint="eastAsia" w:ascii="宋体" w:hAnsi="宋体" w:eastAsia="宋体" w:cs="宋体"/>
          <w:i w:val="0"/>
          <w:caps w:val="0"/>
          <w:color w:val="000000"/>
          <w:spacing w:val="0"/>
          <w:sz w:val="24"/>
          <w:szCs w:val="24"/>
        </w:rPr>
      </w:pPr>
      <w:r>
        <w:rPr>
          <w:rFonts w:hint="eastAsia" w:ascii="微软雅黑" w:hAnsi="微软雅黑" w:eastAsia="微软雅黑" w:cs="微软雅黑"/>
          <w:i w:val="0"/>
          <w:caps w:val="0"/>
          <w:color w:val="000000"/>
          <w:spacing w:val="0"/>
          <w:sz w:val="24"/>
          <w:szCs w:val="24"/>
          <w:bdr w:val="none" w:color="auto" w:sz="0" w:space="0"/>
          <w:shd w:val="clear" w:fill="FFFFFF"/>
        </w:rPr>
        <w:t>费用补贴：反映对企业的费用性补贴。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C730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2020-09-09T20:44:23Z</dcterms:created>
  <dc:creator>Administrator</dc:creator>
  <cp:lastModifiedBy>文虚空圣</cp:lastModifiedBy>
  <dcterms:modified xsi:type="dcterms:W3CDTF">2020-09-09T20:44:54Z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